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186690</wp:posOffset>
            </wp:positionH>
            <wp:positionV relativeFrom="page">
              <wp:posOffset>241935</wp:posOffset>
            </wp:positionV>
            <wp:extent cx="717486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page">
              <wp:posOffset>186690</wp:posOffset>
            </wp:positionH>
            <wp:positionV relativeFrom="page">
              <wp:posOffset>266065</wp:posOffset>
            </wp:positionV>
            <wp:extent cx="71748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715"/>
                    </a:xfrm>
                    <a:prstGeom prst="rect">
                      <a:avLst/>
                    </a:prstGeom>
                    <a:noFill/>
                  </pic:spPr>
                </pic:pic>
              </a:graphicData>
            </a:graphic>
          </wp:anchor>
        </w:drawing>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1748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62"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748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PURSUANT TO RULE 13a-16 OR 15d-16</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UNDER THE SECURITIES EXCHANGE ACT OF 1934</w:t>
      </w:r>
    </w:p>
    <w:p>
      <w:pPr>
        <w:spacing w:after="0" w:line="1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For the month of June 2026</w:t>
      </w:r>
    </w:p>
    <w:p>
      <w:pPr>
        <w:spacing w:after="0" w:line="15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Commission File Number: 001-42213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748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7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30"/>
          <w:szCs w:val="30"/>
          <w:b w:val="1"/>
          <w:bCs w:val="1"/>
          <w:color w:val="auto"/>
        </w:rPr>
        <w:t>WeRide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1748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30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21st Floor, Tower A, Guanzhou Life Science Innovation Center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 51, Luoxuan Road, Guangzhou International Biotech Island</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Guangzhou 510005</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People’s Republic of China</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1748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33" w:lineRule="exact"/>
        <w:rPr>
          <w:sz w:val="24"/>
          <w:szCs w:val="24"/>
          <w:color w:val="auto"/>
        </w:rPr>
      </w:pPr>
    </w:p>
    <w:p>
      <w:pPr>
        <w:ind w:left="4920"/>
        <w:spacing w:after="0" w:line="138" w:lineRule="exact"/>
        <w:tabs>
          <w:tab w:leader="none" w:pos="5680" w:val="left"/>
        </w:tabs>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Form 40-F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748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143510</wp:posOffset>
            </wp:positionV>
            <wp:extent cx="7174865"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1748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54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6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2"/>
          <w:szCs w:val="12"/>
          <w:color w:val="auto"/>
        </w:rPr>
        <w:t>We submitted a monthly return form dated June 4, 2026 in relation to the movements in our authorized share capital and issued shares in May 2026 to The Stock Exchange of Hong Kong Limited. For details, please refer to Exhibit 99.1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1748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280"/>
          </w:cols>
          <w:pgMar w:left="300" w:top="663"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0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4"/>
        </w:trPr>
        <w:tc>
          <w:tcPr>
            <w:tcW w:w="2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8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rPr>
              <w:t>Monthly Return for Equity Issuer on Movements in Securities</w:t>
            </w:r>
          </w:p>
        </w:tc>
        <w:tc>
          <w:tcPr>
            <w:tcW w:w="6980" w:type="dxa"/>
            <w:vAlign w:val="bottom"/>
            <w:tcBorders>
              <w:top w:val="single" w:sz="8" w:color="auto"/>
            </w:tcBorders>
          </w:tcPr>
          <w:p>
            <w:pPr>
              <w:spacing w:after="0"/>
              <w:rPr>
                <w:sz w:val="22"/>
                <w:szCs w:val="22"/>
                <w:color w:val="auto"/>
              </w:rPr>
            </w:pPr>
          </w:p>
        </w:tc>
      </w:tr>
      <w:tr>
        <w:trPr>
          <w:trHeight w:val="129"/>
        </w:trPr>
        <w:tc>
          <w:tcPr>
            <w:tcW w:w="2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6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0000EE"/>
              </w:rPr>
              <w:t>Next Day Disclosure Return, dated June 4, 2026</w:t>
            </w:r>
          </w:p>
        </w:tc>
      </w:tr>
      <w:tr>
        <w:trPr>
          <w:trHeight w:val="472"/>
        </w:trPr>
        <w:tc>
          <w:tcPr>
            <w:tcW w:w="220" w:type="dxa"/>
            <w:vAlign w:val="bottom"/>
            <w:tcBorders>
              <w:top w:val="single" w:sz="8" w:color="0000EE"/>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top w:val="single" w:sz="8" w:color="0000EE"/>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3"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color w:val="auto"/>
        </w:rPr>
        <w:t>WeRide Inc.</w:t>
      </w:r>
    </w:p>
    <w:p>
      <w:pPr>
        <w:spacing w:after="0" w:line="159" w:lineRule="exact"/>
        <w:rPr>
          <w:sz w:val="20"/>
          <w:szCs w:val="20"/>
          <w:color w:val="auto"/>
        </w:rPr>
      </w:pPr>
    </w:p>
    <w:tbl>
      <w:tblPr>
        <w:tblLayout w:type="fixed"/>
        <w:tblInd w:w="5640" w:type="dxa"/>
        <w:tblCellMar>
          <w:top w:w="0" w:type="dxa"/>
          <w:left w:w="0" w:type="dxa"/>
          <w:bottom w:w="0" w:type="dxa"/>
          <w:right w:w="0" w:type="dxa"/>
        </w:tblCellMar>
      </w:tblPr>
      <w:tr>
        <w:trPr>
          <w:trHeight w:val="16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Jennifer Li</w:t>
            </w:r>
          </w:p>
        </w:tc>
      </w:tr>
      <w:tr>
        <w:trPr>
          <w:trHeight w:val="126"/>
        </w:trPr>
        <w:tc>
          <w:tcPr>
            <w:tcW w:w="5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Jennifer Li</w:t>
            </w:r>
          </w:p>
        </w:tc>
      </w:tr>
      <w:tr>
        <w:trPr>
          <w:trHeight w:val="160"/>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309880</wp:posOffset>
            </wp:positionV>
            <wp:extent cx="71748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300"/>
          </w:cols>
          <w:pgMar w:left="300" w:top="663" w:right="299" w:bottom="1440" w:gutter="0" w:footer="0" w:header="0"/>
        </w:sectPr>
      </w:pPr>
    </w:p>
    <w:bookmarkStart w:id="4" w:name="page5"/>
    <w:bookmarkEnd w:id="4"/>
    <w:p>
      <w:pPr>
        <w:ind w:left="95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33655</wp:posOffset>
            </wp:positionV>
            <wp:extent cx="6885940" cy="511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5940" cy="511175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8255</wp:posOffset>
            </wp:positionV>
            <wp:extent cx="6885940" cy="511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ind w:left="9520"/>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15875</wp:posOffset>
            </wp:positionV>
            <wp:extent cx="6885940" cy="511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1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85940" cy="51174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2026-06-04T07:29:59Z</dcterms:created>
  <dcterms:modified xsi:type="dcterms:W3CDTF">2026-06-04T07:29:59Z</dcterms:modified>
</cp:coreProperties>
</file>