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wrd-20260914x6k.htm"/>
      <w:bookmarkStart w:id="1" w:name="kswrd20260914x6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d1f6e136_8355_4b08_98d9_2e18b963468c"/>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13a-16 OR 15d-16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September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001-42213</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WeRide Inc.</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21st Floor, Tower A, Guanzhou Life Science Innovation Center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51, Luoxuan Road, Guangzhou International Biotech Island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Guangzhou 510005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 w:name="_d77f8eb4_a80c_427c_8ea1_dbbe32519b7a"/>
      <w:bookmarkEnd w:id="3"/>
      <w:r>
        <w:rPr>
          <w:rFonts w:ascii="Times New Roman;Times;serif" w:hAnsi="Times New Roman;Times;serif"/>
          <w:b/>
          <w:sz w:val="20"/>
        </w:rPr>
        <w:t>INCORPORATION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Exhibit 99.1 to this Report on Form 6-K shall be deemed to be incorporated by reference into the registration statements on Form S-8 (Registration Nos. 333-286106 and 333-294551) and the registration statement on Form F-3ASR (Registration No. 333-291214) of WeRide Inc.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 w:name="_9d1b8eac_01b5_4e8b_af5e_4b50f31b106a"/>
      <w:bookmarkEnd w:id="4"/>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823"/>
        <w:gridCol w:w="346"/>
        <w:gridCol w:w="9036"/>
      </w:tblGrid>
      <w:tr>
        <w:trPr/>
        <w:tc>
          <w:tcPr>
            <w:tcW w:w="82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Exhibit </w:t>
              <w:br/>
              <w:t>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0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82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pPr>
            <w:hyperlink w:anchor="wrd-20260914xex99d1.htm">
              <w:r>
                <w:rPr>
                  <w:rStyle w:val="InternetLink"/>
                  <w:rFonts w:ascii="Times New Roman;Times;serif" w:hAnsi="Times New Roman;Times;serif"/>
                  <w:b w:val="false"/>
                  <w:i w:val="false"/>
                  <w:caps w:val="false"/>
                  <w:smallCaps w:val="false"/>
                  <w:sz w:val="20"/>
                </w:rPr>
                <w:t xml:space="preserve">Hong Kong 2026 Interim Report </w:t>
              </w:r>
            </w:hyperlink>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 w:name="_a910ee88_7bac_4660_95cc_7d0d3d15747a"/>
      <w:bookmarkEnd w:id="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2766" w:type="dxa"/>
        <w:jc w:val="left"/>
        <w:tblInd w:w="0" w:type="dxa"/>
        <w:tblLayout w:type="fixed"/>
        <w:tblCellMar>
          <w:top w:w="0" w:type="dxa"/>
          <w:left w:w="0" w:type="dxa"/>
          <w:bottom w:w="0" w:type="dxa"/>
          <w:right w:w="0" w:type="dxa"/>
        </w:tblCellMar>
      </w:tblPr>
      <w:tblGrid>
        <w:gridCol w:w="646"/>
        <w:gridCol w:w="1966"/>
        <w:gridCol w:w="154"/>
      </w:tblGrid>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WeRide Inc.</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Jennifer Li </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Jennifer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14, 2026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bookmarkStart w:id="6" w:name="wrd-20260914xex99d1.htm"/>
        <w:bookmarkStart w:id="7" w:name="kswrd20260914xex99d1"/>
        <w:bookmarkEnd w:id="6"/>
        <w:bookmarkEnd w:id="7"/>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40"/>
        <w:ind w:left="0" w:right="0" w:hanging="0"/>
        <w:jc w:val="left"/>
        <w:rPr>
          <w:rFonts w:ascii="Times New Roman;Times;serif" w:hAnsi="Times New Roman;Times;serif"/>
          <w:b/>
          <w:sz w:val="20"/>
        </w:rPr>
      </w:pPr>
      <w:bookmarkStart w:id="8" w:name="TOC"/>
      <w:bookmarkStart w:id="9" w:name="_134a0983_17f2_45d7_bc97_9cd4e0081ed4"/>
      <w:bookmarkEnd w:id="8"/>
      <w:bookmarkEnd w:id="9"/>
      <w:r>
        <w:rPr>
          <w:rFonts w:ascii="Times New Roman;Times;serif" w:hAnsi="Times New Roman;Times;serif"/>
          <w:b/>
          <w:sz w:val="20"/>
        </w:rPr>
        <w:t>CONTENTS</w:t>
      </w:r>
    </w:p>
    <w:tbl>
      <w:tblPr>
        <w:tblW w:w="8432" w:type="dxa"/>
        <w:jc w:val="left"/>
        <w:tblInd w:w="0" w:type="dxa"/>
        <w:tblLayout w:type="fixed"/>
        <w:tblCellMar>
          <w:top w:w="0" w:type="dxa"/>
          <w:left w:w="0" w:type="dxa"/>
          <w:bottom w:w="0" w:type="dxa"/>
          <w:right w:w="0" w:type="dxa"/>
        </w:tblCellMar>
      </w:tblPr>
      <w:tblGrid>
        <w:gridCol w:w="331"/>
        <w:gridCol w:w="810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44135" cy="29210"/>
                      <wp:effectExtent l="0" t="0" r="0" b="0"/>
                      <wp:wrapNone/>
                      <wp:docPr id="2" name="Frame2"/>
                      <a:graphic xmlns:a="http://schemas.openxmlformats.org/drawingml/2006/main">
                        <a:graphicData uri="http://schemas.microsoft.com/office/word/2010/wordprocessingShape">
                          <wps:wsp>
                            <wps:cNvSpPr txBox="1"/>
                            <wps:spPr>
                              <a:xfrm>
                                <a:off x="0" y="0"/>
                                <a:ext cx="514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8101" w:type="dxa"/>
            <w:tcBorders/>
            <w:vAlign w:val="center"/>
          </w:tcPr>
          <w:p>
            <w:pPr>
              <w:pStyle w:val="TableContents"/>
              <w:bidi w:val="0"/>
              <w:spacing w:before="0" w:after="0"/>
              <w:ind w:left="0" w:right="0" w:hanging="0"/>
              <w:jc w:val="left"/>
              <w:rPr/>
            </w:pPr>
            <w:hyperlink w:anchor="CORPORATEINFORMATION_324077">
              <w:r>
                <w:rPr>
                  <w:rStyle w:val="InternetLink"/>
                  <w:rFonts w:ascii="Times New Roman;Times;serif" w:hAnsi="Times New Roman;Times;serif"/>
                  <w:b w:val="false"/>
                  <w:i w:val="false"/>
                  <w:caps w:val="false"/>
                  <w:smallCaps w:val="false"/>
                  <w:sz w:val="20"/>
                </w:rPr>
                <w:t>Corporate Information</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8101" w:type="dxa"/>
            <w:tcBorders/>
            <w:vAlign w:val="center"/>
          </w:tcPr>
          <w:p>
            <w:pPr>
              <w:pStyle w:val="TableContents"/>
              <w:bidi w:val="0"/>
              <w:spacing w:before="0" w:after="0"/>
              <w:ind w:left="0" w:right="0" w:hanging="0"/>
              <w:jc w:val="left"/>
              <w:rPr/>
            </w:pPr>
            <w:hyperlink w:anchor="SAFEHARBORSTATEMENT_309318">
              <w:r>
                <w:rPr>
                  <w:rStyle w:val="InternetLink"/>
                  <w:rFonts w:ascii="Times New Roman;Times;serif" w:hAnsi="Times New Roman;Times;serif"/>
                  <w:b w:val="false"/>
                  <w:i w:val="false"/>
                  <w:caps w:val="false"/>
                  <w:smallCaps w:val="false"/>
                  <w:sz w:val="20"/>
                </w:rPr>
                <w:t>Safe Harbor Statement</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8101" w:type="dxa"/>
            <w:tcBorders/>
            <w:vAlign w:val="center"/>
          </w:tcPr>
          <w:p>
            <w:pPr>
              <w:pStyle w:val="TableContents"/>
              <w:bidi w:val="0"/>
              <w:spacing w:before="0" w:after="0"/>
              <w:ind w:left="0" w:right="0" w:hanging="0"/>
              <w:jc w:val="left"/>
              <w:rPr/>
            </w:pPr>
            <w:hyperlink w:anchor="KEYHIGHLIGHTS_687245">
              <w:r>
                <w:rPr>
                  <w:rStyle w:val="InternetLink"/>
                  <w:rFonts w:ascii="Times New Roman;Times;serif" w:hAnsi="Times New Roman;Times;serif"/>
                  <w:b w:val="false"/>
                  <w:i w:val="false"/>
                  <w:caps w:val="false"/>
                  <w:smallCaps w:val="false"/>
                  <w:sz w:val="20"/>
                </w:rPr>
                <w:t>Key Highlights</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8101" w:type="dxa"/>
            <w:tcBorders/>
            <w:vAlign w:val="center"/>
          </w:tcPr>
          <w:p>
            <w:pPr>
              <w:pStyle w:val="TableContents"/>
              <w:bidi w:val="0"/>
              <w:spacing w:before="0" w:after="0"/>
              <w:ind w:left="0" w:right="0" w:hanging="0"/>
              <w:jc w:val="left"/>
              <w:rPr/>
            </w:pPr>
            <w:hyperlink w:anchor="BUSINESSREVIEWANDOUTLOOK_316280">
              <w:r>
                <w:rPr>
                  <w:rStyle w:val="InternetLink"/>
                  <w:rFonts w:ascii="Times New Roman;Times;serif" w:hAnsi="Times New Roman;Times;serif"/>
                  <w:b w:val="false"/>
                  <w:i w:val="false"/>
                  <w:caps w:val="false"/>
                  <w:smallCaps w:val="false"/>
                  <w:sz w:val="20"/>
                </w:rPr>
                <w:t>Business Review and Outlook</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8101" w:type="dxa"/>
            <w:tcBorders/>
            <w:vAlign w:val="center"/>
          </w:tcPr>
          <w:p>
            <w:pPr>
              <w:pStyle w:val="TableContents"/>
              <w:bidi w:val="0"/>
              <w:spacing w:before="0" w:after="0"/>
              <w:ind w:left="0" w:right="0" w:hanging="0"/>
              <w:jc w:val="left"/>
              <w:rPr/>
            </w:pPr>
            <w:hyperlink w:anchor="MANAGEMENTDISCUSSIONANDANALYSIS_531638">
              <w:r>
                <w:rPr>
                  <w:rStyle w:val="InternetLink"/>
                  <w:rFonts w:ascii="Times New Roman;Times;serif" w:hAnsi="Times New Roman;Times;serif"/>
                  <w:b w:val="false"/>
                  <w:i w:val="false"/>
                  <w:caps w:val="false"/>
                  <w:smallCaps w:val="false"/>
                  <w:sz w:val="20"/>
                </w:rPr>
                <w:t>Management Discussion and Analysis</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8101" w:type="dxa"/>
            <w:tcBorders/>
            <w:vAlign w:val="center"/>
          </w:tcPr>
          <w:p>
            <w:pPr>
              <w:pStyle w:val="TableContents"/>
              <w:bidi w:val="0"/>
              <w:spacing w:before="0" w:after="0"/>
              <w:ind w:left="0" w:right="0" w:hanging="0"/>
              <w:jc w:val="left"/>
              <w:rPr/>
            </w:pPr>
            <w:hyperlink w:anchor="CORPORATEGOVERNANCE_59697">
              <w:r>
                <w:rPr>
                  <w:rStyle w:val="InternetLink"/>
                  <w:rFonts w:ascii="Times New Roman;Times;serif" w:hAnsi="Times New Roman;Times;serif"/>
                  <w:b w:val="false"/>
                  <w:i w:val="false"/>
                  <w:caps w:val="false"/>
                  <w:smallCaps w:val="false"/>
                  <w:sz w:val="20"/>
                </w:rPr>
                <w:t>Corporate Governance</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8101" w:type="dxa"/>
            <w:tcBorders/>
            <w:vAlign w:val="center"/>
          </w:tcPr>
          <w:p>
            <w:pPr>
              <w:pStyle w:val="TableContents"/>
              <w:bidi w:val="0"/>
              <w:spacing w:before="0" w:after="0"/>
              <w:ind w:left="0" w:right="0" w:hanging="0"/>
              <w:jc w:val="left"/>
              <w:rPr/>
            </w:pPr>
            <w:hyperlink w:anchor="OTHERINFORMATION_831217">
              <w:r>
                <w:rPr>
                  <w:rStyle w:val="InternetLink"/>
                  <w:rFonts w:ascii="Times New Roman;Times;serif" w:hAnsi="Times New Roman;Times;serif"/>
                  <w:b w:val="false"/>
                  <w:i w:val="false"/>
                  <w:caps w:val="false"/>
                  <w:smallCaps w:val="false"/>
                  <w:sz w:val="20"/>
                </w:rPr>
                <w:t>Other Information</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w:t>
            </w:r>
          </w:p>
        </w:tc>
        <w:tc>
          <w:tcPr>
            <w:tcW w:w="8101" w:type="dxa"/>
            <w:tcBorders/>
            <w:vAlign w:val="center"/>
          </w:tcPr>
          <w:p>
            <w:pPr>
              <w:pStyle w:val="TableContents"/>
              <w:bidi w:val="0"/>
              <w:spacing w:before="0" w:after="0"/>
              <w:ind w:left="0" w:right="0" w:hanging="0"/>
              <w:jc w:val="left"/>
              <w:rPr/>
            </w:pPr>
            <w:hyperlink w:anchor="INDEPENDENTAUDITORSREPORT_584759">
              <w:r>
                <w:rPr>
                  <w:rStyle w:val="InternetLink"/>
                  <w:rFonts w:ascii="Times New Roman;Times;serif" w:hAnsi="Times New Roman;Times;serif"/>
                  <w:b w:val="false"/>
                  <w:i w:val="false"/>
                  <w:caps w:val="false"/>
                  <w:smallCaps w:val="false"/>
                  <w:sz w:val="20"/>
                </w:rPr>
                <w:t>Independent Auditor’s Report</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w:t>
            </w:r>
          </w:p>
        </w:tc>
        <w:tc>
          <w:tcPr>
            <w:tcW w:w="8101" w:type="dxa"/>
            <w:tcBorders/>
            <w:vAlign w:val="center"/>
          </w:tcPr>
          <w:p>
            <w:pPr>
              <w:pStyle w:val="TableContents"/>
              <w:bidi w:val="0"/>
              <w:spacing w:before="0" w:after="0"/>
              <w:ind w:left="0" w:right="0" w:hanging="0"/>
              <w:jc w:val="left"/>
              <w:rPr/>
            </w:pPr>
            <w:hyperlink w:anchor="UnauditedCondensedConsolidatedStatements">
              <w:r>
                <w:rPr>
                  <w:rStyle w:val="InternetLink"/>
                  <w:rFonts w:ascii="Times New Roman;Times;serif" w:hAnsi="Times New Roman;Times;serif"/>
                  <w:b w:val="false"/>
                  <w:i w:val="false"/>
                  <w:caps w:val="false"/>
                  <w:smallCaps w:val="false"/>
                  <w:sz w:val="20"/>
                </w:rPr>
                <w:t>Unaudited Condensed Consolidated Statement of Profit or Loss</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8101" w:type="dxa"/>
            <w:tcBorders/>
            <w:vAlign w:val="center"/>
          </w:tcPr>
          <w:p>
            <w:pPr>
              <w:pStyle w:val="TableContents"/>
              <w:bidi w:val="0"/>
              <w:spacing w:before="0" w:after="0"/>
              <w:ind w:left="0" w:right="0" w:hanging="0"/>
              <w:jc w:val="left"/>
              <w:rPr/>
            </w:pPr>
            <w:hyperlink w:anchor="ProfitorLossandOtherComprehensiveIncome_">
              <w:r>
                <w:rPr>
                  <w:rStyle w:val="InternetLink"/>
                  <w:rFonts w:ascii="Times New Roman;Times;serif" w:hAnsi="Times New Roman;Times;serif"/>
                  <w:b w:val="false"/>
                  <w:i w:val="false"/>
                  <w:caps w:val="false"/>
                  <w:smallCaps w:val="false"/>
                  <w:sz w:val="20"/>
                </w:rPr>
                <w:t>Unaudited Condensed Consolidated Statement of Profit or Loss and Other Comprehensive Income</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8101" w:type="dxa"/>
            <w:tcBorders/>
            <w:vAlign w:val="center"/>
          </w:tcPr>
          <w:p>
            <w:pPr>
              <w:pStyle w:val="TableContents"/>
              <w:bidi w:val="0"/>
              <w:spacing w:before="0" w:after="0"/>
              <w:ind w:left="0" w:right="0" w:hanging="0"/>
              <w:jc w:val="left"/>
              <w:rPr/>
            </w:pPr>
            <w:hyperlink w:anchor="ConsolidatedStatementsofFinancialPositio">
              <w:r>
                <w:rPr>
                  <w:rStyle w:val="InternetLink"/>
                  <w:rFonts w:ascii="Times New Roman;Times;serif" w:hAnsi="Times New Roman;Times;serif"/>
                  <w:b w:val="false"/>
                  <w:i w:val="false"/>
                  <w:caps w:val="false"/>
                  <w:smallCaps w:val="false"/>
                  <w:sz w:val="20"/>
                </w:rPr>
                <w:t>Unaudited Condensed Consolidated Statement of Financial Position</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8101" w:type="dxa"/>
            <w:tcBorders/>
            <w:vAlign w:val="center"/>
          </w:tcPr>
          <w:p>
            <w:pPr>
              <w:pStyle w:val="TableContents"/>
              <w:bidi w:val="0"/>
              <w:spacing w:before="0" w:after="0"/>
              <w:ind w:left="0" w:right="0" w:hanging="0"/>
              <w:jc w:val="left"/>
              <w:rPr/>
            </w:pPr>
            <w:hyperlink w:anchor="ChangesinEquity_517873">
              <w:r>
                <w:rPr>
                  <w:rStyle w:val="InternetLink"/>
                  <w:rFonts w:ascii="Times New Roman;Times;serif" w:hAnsi="Times New Roman;Times;serif"/>
                  <w:b w:val="false"/>
                  <w:i w:val="false"/>
                  <w:caps w:val="false"/>
                  <w:smallCaps w:val="false"/>
                  <w:sz w:val="20"/>
                </w:rPr>
                <w:t>Unaudited Condensed Consolidated Statement of Changes in Equity</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8101" w:type="dxa"/>
            <w:tcBorders/>
            <w:vAlign w:val="center"/>
          </w:tcPr>
          <w:p>
            <w:pPr>
              <w:pStyle w:val="TableContents"/>
              <w:bidi w:val="0"/>
              <w:spacing w:before="0" w:after="0"/>
              <w:ind w:left="0" w:right="0" w:hanging="0"/>
              <w:jc w:val="left"/>
              <w:rPr/>
            </w:pPr>
            <w:hyperlink w:anchor="StatementsofCashFlows_754498">
              <w:r>
                <w:rPr>
                  <w:rStyle w:val="InternetLink"/>
                  <w:rFonts w:ascii="Times New Roman;Times;serif" w:hAnsi="Times New Roman;Times;serif"/>
                  <w:b w:val="false"/>
                  <w:i w:val="false"/>
                  <w:caps w:val="false"/>
                  <w:smallCaps w:val="false"/>
                  <w:sz w:val="20"/>
                </w:rPr>
                <w:t>Unaudited Condensed Consolidated Statement of Cash Flows</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8101" w:type="dxa"/>
            <w:tcBorders/>
            <w:vAlign w:val="center"/>
          </w:tcPr>
          <w:p>
            <w:pPr>
              <w:pStyle w:val="TableContents"/>
              <w:bidi w:val="0"/>
              <w:spacing w:before="0" w:after="0"/>
              <w:ind w:left="0" w:right="0" w:hanging="0"/>
              <w:jc w:val="left"/>
              <w:rPr/>
            </w:pPr>
            <w:hyperlink w:anchor="Interim_Financial">
              <w:r>
                <w:rPr>
                  <w:rStyle w:val="InternetLink"/>
                  <w:rFonts w:ascii="Times New Roman;Times;serif" w:hAnsi="Times New Roman;Times;serif"/>
                  <w:b w:val="false"/>
                  <w:i w:val="false"/>
                  <w:caps w:val="false"/>
                  <w:smallCaps w:val="false"/>
                  <w:sz w:val="20"/>
                </w:rPr>
                <w:t>Notes to the Unaudited Condensed Consolidated Interim Financial Statements</w:t>
              </w:r>
            </w:hyperlink>
          </w:p>
        </w:tc>
      </w:tr>
      <w:tr>
        <w:trPr/>
        <w:tc>
          <w:tcPr>
            <w:tcW w:w="331" w:type="dxa"/>
            <w:tcBorders/>
            <w:vAlign w:val="center"/>
          </w:tcPr>
          <w:p>
            <w:pPr>
              <w:pStyle w:val="TableContents"/>
              <w:bidi w:val="0"/>
              <w:spacing w:before="0" w:after="0"/>
              <w:ind w:left="0" w:right="0" w:hanging="0"/>
              <w:jc w:val="left"/>
              <w:rPr/>
            </w:pPr>
            <w:r>
              <w:rPr/>
              <w:t>​</w:t>
            </w:r>
          </w:p>
        </w:tc>
        <w:tc>
          <w:tcPr>
            <w:tcW w:w="810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w:t>
            </w:r>
          </w:p>
        </w:tc>
        <w:tc>
          <w:tcPr>
            <w:tcW w:w="8101" w:type="dxa"/>
            <w:tcBorders/>
            <w:vAlign w:val="center"/>
          </w:tcPr>
          <w:p>
            <w:pPr>
              <w:pStyle w:val="TableContents"/>
              <w:bidi w:val="0"/>
              <w:spacing w:before="0" w:after="0"/>
              <w:ind w:left="0" w:right="0" w:hanging="0"/>
              <w:jc w:val="left"/>
              <w:rPr/>
            </w:pPr>
            <w:hyperlink w:anchor="DEFINITIONS_356695">
              <w:r>
                <w:rPr>
                  <w:rStyle w:val="InternetLink"/>
                  <w:rFonts w:ascii="Times New Roman;Times;serif" w:hAnsi="Times New Roman;Times;serif"/>
                  <w:b w:val="false"/>
                  <w:i w:val="false"/>
                  <w:caps w:val="false"/>
                  <w:smallCaps w:val="false"/>
                  <w:sz w:val="20"/>
                </w:rPr>
                <w:t>Definitions</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 w:name="CORPORATEINFORMATION_324077"/>
      <w:bookmarkStart w:id="11" w:name="_791cff59_c96d_439b_b839_bb405bf26111"/>
      <w:bookmarkEnd w:id="10"/>
      <w:bookmarkEnd w:id="11"/>
      <w:r>
        <w:rPr>
          <w:rFonts w:ascii="Times New Roman;Times;serif" w:hAnsi="Times New Roman;Times;serif"/>
          <w:b/>
          <w:sz w:val="20"/>
        </w:rPr>
        <w:t>CORPORATE INFORMATION</w:t>
      </w:r>
    </w:p>
    <w:p>
      <w:pPr>
        <w:pStyle w:val="TextBody"/>
        <w:bidi w:val="0"/>
        <w:spacing w:before="0" w:after="0"/>
        <w:ind w:left="0" w:right="0" w:hanging="0"/>
        <w:jc w:val="center"/>
        <w:rPr/>
      </w:pPr>
      <w:r>
        <w:rPr/>
        <w:t>​</w:t>
      </w:r>
    </w:p>
    <w:tbl>
      <w:tblPr>
        <w:tblW w:w="4951" w:type="dxa"/>
        <w:jc w:val="left"/>
        <w:tblInd w:w="0" w:type="dxa"/>
        <w:tblLayout w:type="fixed"/>
        <w:tblCellMar>
          <w:top w:w="0" w:type="dxa"/>
          <w:left w:w="0" w:type="dxa"/>
          <w:bottom w:w="0" w:type="dxa"/>
          <w:right w:w="0" w:type="dxa"/>
        </w:tblCellMar>
      </w:tblPr>
      <w:tblGrid>
        <w:gridCol w:w="495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DIRECTORS</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Dr. Tony Xu Han (</w:t>
            </w:r>
            <w:r>
              <w:rPr>
                <w:rFonts w:eastAsia="MHeiHK-Light"/>
                <w:sz w:val="20"/>
              </w:rPr>
              <w:t>韓旭</w:t>
            </w:r>
            <w:r>
              <w:rPr>
                <w:rFonts w:ascii="Times New Roman;Times;serif" w:hAnsi="Times New Roman;Times;serif"/>
                <w:sz w:val="20"/>
              </w:rPr>
              <w:t xml:space="preserve">) </w:t>
            </w:r>
            <w:r>
              <w:rPr>
                <w:rFonts w:ascii="Times New Roman;Times;serif" w:hAnsi="Times New Roman;Times;serif"/>
                <w:i/>
                <w:sz w:val="20"/>
              </w:rPr>
              <w:t>(Chairman of the Board and CEO)</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Dr. Yan Li (</w:t>
            </w:r>
            <w:r>
              <w:rPr>
                <w:rFonts w:eastAsia="MHeiHK-Light"/>
                <w:sz w:val="20"/>
              </w:rPr>
              <w:t>李岩</w:t>
            </w: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NON-EXECUTIVE DIRECTORS</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Ichijo Futakawa</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(appointed with effect from April 21, 2026)</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Kazuhiro Doi</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(resigned with effect from March 31, 2026)</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Jean-François Salles</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INDEPENDENT NON-EXECUTIVE DIRECTORS</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Huiping Yan</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Mr. David Zhang (</w:t>
            </w:r>
            <w:r>
              <w:rPr>
                <w:rFonts w:eastAsia="MHeiHK-Light"/>
                <w:sz w:val="20"/>
              </w:rPr>
              <w:t>張彤</w:t>
            </w:r>
            <w:r>
              <w:rPr>
                <w:rFonts w:ascii="Times New Roman;Times;serif" w:hAnsi="Times New Roman;Times;serif"/>
                <w:sz w:val="20"/>
              </w:rPr>
              <w:t>)</w:t>
              <w:br/>
              <w:t>Dr. Tony Fan-cheong Chan</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 COMMITTEE</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Ms. Huiping Yan </w:t>
            </w:r>
            <w:r>
              <w:rPr>
                <w:rFonts w:ascii="Times New Roman;Times;serif" w:hAnsi="Times New Roman;Times;serif"/>
                <w:i/>
                <w:sz w:val="20"/>
              </w:rPr>
              <w:t>(Chairperson)</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Mr. David Zhang (</w:t>
            </w:r>
            <w:r>
              <w:rPr>
                <w:rFonts w:eastAsia="MHeiHK-Light"/>
                <w:sz w:val="20"/>
              </w:rPr>
              <w:t>張彤</w:t>
            </w:r>
            <w:r>
              <w:rPr>
                <w:rFonts w:ascii="Times New Roman;Times;serif" w:hAnsi="Times New Roman;Times;serif"/>
                <w:sz w:val="20"/>
              </w:rPr>
              <w:t>)</w:t>
              <w:br/>
              <w:t>Dr. Tony Fan-cheong Chan</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COMPENSATION COMMITTEE</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Mr. David Zhang (</w:t>
            </w:r>
            <w:r>
              <w:rPr>
                <w:rFonts w:eastAsia="MHeiHK-Light"/>
                <w:sz w:val="20"/>
              </w:rPr>
              <w:t>張彤</w:t>
            </w:r>
            <w:r>
              <w:rPr>
                <w:rFonts w:ascii="Times New Roman;Times;serif" w:hAnsi="Times New Roman;Times;serif"/>
                <w:sz w:val="20"/>
              </w:rPr>
              <w:t xml:space="preserve">) </w:t>
            </w:r>
            <w:r>
              <w:rPr>
                <w:rFonts w:ascii="Times New Roman;Times;serif" w:hAnsi="Times New Roman;Times;serif"/>
                <w:i/>
                <w:sz w:val="20"/>
              </w:rPr>
              <w:t>(Chairperson)</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Dr. Tony Xu Han (</w:t>
            </w:r>
            <w:r>
              <w:rPr>
                <w:rFonts w:eastAsia="MHeiHK-Light"/>
                <w:sz w:val="20"/>
              </w:rPr>
              <w:t>韓旭</w:t>
            </w: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Huiping Yan</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Tony Fan-cheong Chan</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NOMINATION COMMITTEE</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Mr. David Zhang (</w:t>
            </w:r>
            <w:r>
              <w:rPr>
                <w:rFonts w:eastAsia="MHeiHK-Light"/>
                <w:sz w:val="20"/>
              </w:rPr>
              <w:t>張彤</w:t>
            </w:r>
            <w:r>
              <w:rPr>
                <w:rFonts w:ascii="Times New Roman;Times;serif" w:hAnsi="Times New Roman;Times;serif"/>
                <w:sz w:val="20"/>
              </w:rPr>
              <w:t xml:space="preserve">) </w:t>
            </w:r>
            <w:r>
              <w:rPr>
                <w:rFonts w:ascii="Times New Roman;Times;serif" w:hAnsi="Times New Roman;Times;serif"/>
                <w:i/>
                <w:sz w:val="20"/>
              </w:rPr>
              <w:t>(Chairperson)</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Dr. Tony Xu Han (</w:t>
            </w:r>
            <w:r>
              <w:rPr>
                <w:rFonts w:eastAsia="MHeiHK-Light"/>
                <w:sz w:val="20"/>
              </w:rPr>
              <w:t>韓旭</w:t>
            </w:r>
            <w:r>
              <w:rPr>
                <w:rFonts w:ascii="Times New Roman;Times;serif" w:hAnsi="Times New Roman;Times;serif"/>
                <w:sz w:val="20"/>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Huiping Yan</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Tony Fan-cheong Chan</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GOVERNANCE COMMITTEE</w:t>
            </w:r>
          </w:p>
        </w:tc>
      </w:tr>
      <w:tr>
        <w:trPr/>
        <w:tc>
          <w:tcPr>
            <w:tcW w:w="4951"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rFonts w:ascii="Times New Roman;Times;serif" w:hAnsi="Times New Roman;Times;serif"/>
                <w:sz w:val="20"/>
              </w:rPr>
              <w:t>Mr. David Zhang (</w:t>
            </w:r>
            <w:r>
              <w:rPr>
                <w:rFonts w:eastAsia="MHeiHK-Light"/>
                <w:sz w:val="20"/>
              </w:rPr>
              <w:t>張彤</w:t>
            </w:r>
            <w:r>
              <w:rPr>
                <w:rFonts w:ascii="Times New Roman;Times;serif" w:hAnsi="Times New Roman;Times;serif"/>
                <w:sz w:val="20"/>
              </w:rPr>
              <w:t xml:space="preserve">) </w:t>
            </w:r>
            <w:r>
              <w:rPr>
                <w:rFonts w:ascii="Times New Roman;Times;serif" w:hAnsi="Times New Roman;Times;serif"/>
                <w:i/>
                <w:sz w:val="20"/>
              </w:rPr>
              <w:t>(Chairperson)</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Huiping Yan</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Tony Fan-cheong Chan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56" w:type="dxa"/>
        <w:jc w:val="left"/>
        <w:tblInd w:w="0" w:type="dxa"/>
        <w:tblLayout w:type="fixed"/>
        <w:tblCellMar>
          <w:top w:w="0" w:type="dxa"/>
          <w:left w:w="0" w:type="dxa"/>
          <w:bottom w:w="0" w:type="dxa"/>
          <w:right w:w="0" w:type="dxa"/>
        </w:tblCellMar>
      </w:tblPr>
      <w:tblGrid>
        <w:gridCol w:w="8056"/>
      </w:tblGrid>
      <w:tr>
        <w:trPr/>
        <w:tc>
          <w:tcPr>
            <w:tcW w:w="8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115560" cy="29210"/>
                      <wp:effectExtent l="0" t="0" r="0" b="0"/>
                      <wp:wrapNone/>
                      <wp:docPr id="3" name="Frame3"/>
                      <a:graphic xmlns:a="http://schemas.openxmlformats.org/drawingml/2006/main">
                        <a:graphicData uri="http://schemas.microsoft.com/office/word/2010/wordprocessingShape">
                          <wps:wsp>
                            <wps:cNvSpPr txBox="1"/>
                            <wps:spPr>
                              <a:xfrm>
                                <a:off x="0" y="0"/>
                                <a:ext cx="5115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JOINT COMPANY SECRETARIES</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pPr>
            <w:r>
              <w:rPr>
                <w:rFonts w:ascii="Times New Roman;Times;serif" w:hAnsi="Times New Roman;Times;serif"/>
                <w:sz w:val="20"/>
              </w:rPr>
              <w:t>Ms. Liang Wang (</w:t>
            </w:r>
            <w:r>
              <w:rPr>
                <w:rFonts w:eastAsia="MHeiHK-Light"/>
                <w:sz w:val="20"/>
              </w:rPr>
              <w:t>王亮</w:t>
            </w:r>
            <w:r>
              <w:rPr>
                <w:rFonts w:ascii="Times New Roman;Times;serif" w:hAnsi="Times New Roman;Times;serif"/>
                <w:sz w:val="20"/>
              </w:rPr>
              <w:t>)</w:t>
            </w:r>
          </w:p>
        </w:tc>
      </w:tr>
      <w:tr>
        <w:trPr/>
        <w:tc>
          <w:tcPr>
            <w:tcW w:w="8056" w:type="dxa"/>
            <w:tcBorders/>
            <w:vAlign w:val="center"/>
          </w:tcPr>
          <w:p>
            <w:pPr>
              <w:pStyle w:val="TableContents"/>
              <w:bidi w:val="0"/>
              <w:spacing w:before="0" w:after="0"/>
              <w:ind w:left="0" w:right="0" w:hanging="0"/>
              <w:jc w:val="left"/>
              <w:rPr/>
            </w:pPr>
            <w:r>
              <w:rPr>
                <w:rFonts w:ascii="Times New Roman;Times;serif" w:hAnsi="Times New Roman;Times;serif"/>
                <w:sz w:val="20"/>
              </w:rPr>
              <w:t>Ms. Anne Yu (</w:t>
            </w:r>
            <w:r>
              <w:rPr>
                <w:rFonts w:eastAsia="MHeiHK-Light"/>
                <w:sz w:val="20"/>
              </w:rPr>
              <w:t>余安妮</w:t>
            </w:r>
            <w:r>
              <w:rPr>
                <w:rFonts w:ascii="Times New Roman;Times;serif" w:hAnsi="Times New Roman;Times;serif"/>
                <w:sz w:val="20"/>
              </w:rPr>
              <w:t>)</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AUTHORIZED REPRESENTATIVES</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pPr>
            <w:r>
              <w:rPr>
                <w:rFonts w:ascii="Times New Roman;Times;serif" w:hAnsi="Times New Roman;Times;serif"/>
                <w:sz w:val="20"/>
              </w:rPr>
              <w:t>Dr. Tony Xu Han (</w:t>
            </w:r>
            <w:r>
              <w:rPr>
                <w:rFonts w:eastAsia="MHeiHK-Light"/>
                <w:sz w:val="20"/>
              </w:rPr>
              <w:t>韓旭</w:t>
            </w:r>
            <w:r>
              <w:rPr>
                <w:rFonts w:ascii="Times New Roman;Times;serif" w:hAnsi="Times New Roman;Times;serif"/>
                <w:sz w:val="20"/>
              </w:rPr>
              <w:t>)</w:t>
            </w:r>
          </w:p>
        </w:tc>
      </w:tr>
      <w:tr>
        <w:trPr/>
        <w:tc>
          <w:tcPr>
            <w:tcW w:w="8056" w:type="dxa"/>
            <w:tcBorders/>
            <w:vAlign w:val="center"/>
          </w:tcPr>
          <w:p>
            <w:pPr>
              <w:pStyle w:val="TableContents"/>
              <w:bidi w:val="0"/>
              <w:spacing w:before="0" w:after="0"/>
              <w:ind w:left="0" w:right="0" w:hanging="0"/>
              <w:jc w:val="left"/>
              <w:rPr/>
            </w:pPr>
            <w:r>
              <w:rPr>
                <w:rFonts w:ascii="Times New Roman;Times;serif" w:hAnsi="Times New Roman;Times;serif"/>
                <w:sz w:val="20"/>
              </w:rPr>
              <w:t>Ms. Anne Yu (</w:t>
            </w:r>
            <w:r>
              <w:rPr>
                <w:rFonts w:eastAsia="MHeiHK-Light"/>
                <w:sz w:val="20"/>
              </w:rPr>
              <w:t>余安妮</w:t>
            </w:r>
            <w:r>
              <w:rPr>
                <w:rFonts w:ascii="Times New Roman;Times;serif" w:hAnsi="Times New Roman;Times;serif"/>
                <w:sz w:val="20"/>
              </w:rPr>
              <w:t>)</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HEADQUARTERS AND PRINCIPAL PLACE OF BUSINESS IN THE PRC</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21st Floor, Tower A</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Guanzhou Life Science Innovation Center No. 51 Luoxuan Road</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International Biotech Island Guangzhou</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Guangdong Province PRC</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PLACE OF BUSINESS IN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40th Floor, Dah Sing Financial Centre No. 248 Queen’s Road East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Wanchai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REGISTERED OFFICE</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 Box 472</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Harbour Place, 2nd Floor, North Wing 103 South Church Street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Town</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Cayman KY1-1106 Cayman Islands</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AUDITOR</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KPMG</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Certified Public Accountants Public Interest Entity Auditor</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registered in accordance with the Accounting and Financial Reporting Council Ordinance</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8th Floor, Prince’s Building 10 Chater Road</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ADVISORS</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to Hong Kong and United States laws</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Cooley HK</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35/F, Two Exchange Square 8 Connaught Place</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to Cayman Islands laws</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Travers Thorp Alberga</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3605 Tower Two, Lippo Centre 89 Queensway</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Admiralty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COMPLIANCE ADVISOR</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Rainbow Capital (HK) Limited </w:t>
            </w:r>
            <w:r>
              <w:rPr>
                <w:rFonts w:ascii="Times New Roman;Times;serif" w:hAnsi="Times New Roman;Times;serif"/>
                <w:sz w:val="20"/>
              </w:rPr>
              <w:t>Office No. 710, 7/F, Wing On House 71 Des Voeux Road Central</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 Hong Kong</w:t>
            </w:r>
          </w:p>
        </w:tc>
      </w:tr>
      <w:tr>
        <w:trPr/>
        <w:tc>
          <w:tcPr>
            <w:tcW w:w="8056" w:type="dxa"/>
            <w:tcBorders/>
            <w:vAlign w:val="center"/>
          </w:tcPr>
          <w:p>
            <w:pPr>
              <w:pStyle w:val="TableContents"/>
              <w:bidi w:val="0"/>
              <w:spacing w:before="0" w:after="0"/>
              <w:ind w:left="0" w:right="0" w:hanging="0"/>
              <w:jc w:val="left"/>
              <w:rPr/>
            </w:pPr>
            <w:r>
              <w:rPr/>
              <w:t>​</w:t>
            </w:r>
          </w:p>
        </w:tc>
      </w:tr>
      <w:tr>
        <w:trPr/>
        <w:tc>
          <w:tcPr>
            <w:tcW w:w="8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HONG KONG SHARE REGISTRAR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81" w:type="dxa"/>
        <w:jc w:val="left"/>
        <w:tblInd w:w="0" w:type="dxa"/>
        <w:tblLayout w:type="fixed"/>
        <w:tblCellMar>
          <w:top w:w="0" w:type="dxa"/>
          <w:left w:w="0" w:type="dxa"/>
          <w:bottom w:w="0" w:type="dxa"/>
          <w:right w:w="0" w:type="dxa"/>
        </w:tblCellMar>
      </w:tblPr>
      <w:tblGrid>
        <w:gridCol w:w="5281"/>
      </w:tblGrid>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Computershare Hong Kong Investor Services Limited</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Shops 1712-1716</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17th Floor, Hopewell Centre 183 Queen’s Road East Wanchai</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 REGISTRAR</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International Corporation Services Ltd.</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 Box 472</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Harbour Place, 2nd Floor, North Wing 103 South Church Street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Town</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Cayman KY1-1106 Cayman Islands</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BANKS</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China Merchants Bank</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Merchants Bank Building No. 5 Huashui Road</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Tianhe District Guangzhou Guangdong Province PRC</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UBS AG, Singapore</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 Penang Road</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238459</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Goldman Sachs Bank USA New York Branch</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200 West Street </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NY 10282</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CODE</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0800. HK</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NASDAQ STOCK TICKER</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WRD</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COMPANY’S WEBSITE</w:t>
            </w:r>
          </w:p>
        </w:tc>
      </w:tr>
      <w:tr>
        <w:trPr/>
        <w:tc>
          <w:tcPr>
            <w:tcW w:w="5281"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www.weride.ai</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 w:name="SAFEHARBORSTATEMENT_309318"/>
      <w:bookmarkStart w:id="13" w:name="_813c2385_38ba_4f5a_bd22_d04a1b29877b"/>
      <w:bookmarkEnd w:id="12"/>
      <w:bookmarkEnd w:id="13"/>
      <w:r>
        <w:rPr>
          <w:rFonts w:ascii="Times New Roman;Times;serif" w:hAnsi="Times New Roman;Times;serif"/>
          <w:b/>
          <w:sz w:val="20"/>
        </w:rPr>
        <w:t>SAFE HARBOR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interim report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SEC and announcements on the website of the Stock Exchange. All information provided in this interim report is as of the date of this interim report, and WeRide does not undertake any obligation to update any forward-looking statement, except as required under applicable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 w:name="KEYHIGHLIGHTS_687245"/>
      <w:bookmarkStart w:id="15" w:name="_c872335a_2c7f_4993_8d0b_3fee307777f1"/>
      <w:bookmarkEnd w:id="14"/>
      <w:bookmarkEnd w:id="15"/>
      <w:r>
        <w:rPr>
          <w:rFonts w:ascii="Times New Roman;Times;serif" w:hAnsi="Times New Roman;Times;serif"/>
          <w:b/>
          <w:sz w:val="20"/>
        </w:rPr>
        <w:t>KEY HIGHLIGHTS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HIGHLIGHTS FOR THE SIX MONTHS ENDED JUNE 30, 2026</w:t>
      </w:r>
    </w:p>
    <w:tbl>
      <w:tblPr>
        <w:tblW w:w="9572" w:type="dxa"/>
        <w:jc w:val="left"/>
        <w:tblInd w:w="0" w:type="dxa"/>
        <w:tblLayout w:type="fixed"/>
        <w:tblCellMar>
          <w:top w:w="0" w:type="dxa"/>
          <w:left w:w="0" w:type="dxa"/>
          <w:bottom w:w="0" w:type="dxa"/>
          <w:right w:w="0" w:type="dxa"/>
        </w:tblCellMar>
      </w:tblPr>
      <w:tblGrid>
        <w:gridCol w:w="271"/>
        <w:gridCol w:w="9301"/>
      </w:tblGrid>
      <w:tr>
        <w:trPr/>
        <w:tc>
          <w:tcPr>
            <w:tcW w:w="271" w:type="dxa"/>
            <w:tcBorders/>
            <w:vAlign w:val="center"/>
          </w:tcPr>
          <w:p>
            <w:pPr>
              <w:pStyle w:val="TableContents"/>
              <w:bidi w:val="0"/>
              <w:spacing w:before="0" w:after="283"/>
              <w:jc w:val="left"/>
              <w:rPr>
                <w:color w:val="231F20"/>
              </w:rPr>
            </w:pPr>
            <w:r>
              <w:rPr>
                <w:color w:val="231F20"/>
              </w:rPr>
              <w:t>●</w:t>
            </w:r>
          </w:p>
        </w:tc>
        <w:tc>
          <w:tcPr>
            <w:tcW w:w="93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Total revenue for the Reporting Period reached RMB345.9 million, an increase of 73.3% year over year (“</w:t>
            </w:r>
            <w:r>
              <w:rPr>
                <w:rFonts w:ascii="Times New Roman;Times;serif" w:hAnsi="Times New Roman;Times;serif"/>
                <w:b/>
                <w:i w:val="false"/>
                <w:caps w:val="false"/>
                <w:smallCaps w:val="false"/>
                <w:color w:val="231F20"/>
                <w:sz w:val="20"/>
              </w:rPr>
              <w:t>YoY</w:t>
            </w:r>
            <w:r>
              <w:rPr>
                <w:caps w:val="false"/>
                <w:smallCaps w:val="false"/>
                <w:color w:val="231F20"/>
              </w:rPr>
              <w:t>”</w:t>
            </w:r>
            <w:r>
              <w:rPr>
                <w:rFonts w:ascii="Times New Roman;Times;serif" w:hAnsi="Times New Roman;Times;serif"/>
                <w:b w:val="false"/>
                <w:i w:val="false"/>
                <w:caps w:val="false"/>
                <w:smallCaps w:val="false"/>
                <w:color w:val="231F20"/>
                <w:sz w:val="20"/>
              </w:rPr>
              <w:t>).</w:t>
            </w:r>
          </w:p>
        </w:tc>
      </w:tr>
    </w:tbl>
    <w:tbl>
      <w:tblPr>
        <w:tblW w:w="4037" w:type="dxa"/>
        <w:jc w:val="left"/>
        <w:tblInd w:w="0" w:type="dxa"/>
        <w:tblLayout w:type="fixed"/>
        <w:tblCellMar>
          <w:top w:w="0" w:type="dxa"/>
          <w:left w:w="0" w:type="dxa"/>
          <w:bottom w:w="0" w:type="dxa"/>
          <w:right w:w="0" w:type="dxa"/>
        </w:tblCellMar>
      </w:tblPr>
      <w:tblGrid>
        <w:gridCol w:w="271"/>
        <w:gridCol w:w="3766"/>
      </w:tblGrid>
      <w:tr>
        <w:trPr/>
        <w:tc>
          <w:tcPr>
            <w:tcW w:w="271" w:type="dxa"/>
            <w:tcBorders/>
            <w:vAlign w:val="center"/>
          </w:tcPr>
          <w:p>
            <w:pPr>
              <w:pStyle w:val="TableContents"/>
              <w:bidi w:val="0"/>
              <w:spacing w:before="0" w:after="283"/>
              <w:jc w:val="left"/>
              <w:rPr>
                <w:color w:val="231F20"/>
              </w:rPr>
            </w:pPr>
            <w:r>
              <w:rPr>
                <w:color w:val="231F20"/>
              </w:rPr>
              <w:t>●</w:t>
            </w:r>
          </w:p>
        </w:tc>
        <w:tc>
          <w:tcPr>
            <w:tcW w:w="376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Overseas revenue increased by 154.4% YoY.</w:t>
            </w:r>
          </w:p>
        </w:tc>
      </w:tr>
    </w:tbl>
    <w:tbl>
      <w:tblPr>
        <w:tblW w:w="9302" w:type="dxa"/>
        <w:jc w:val="left"/>
        <w:tblInd w:w="0" w:type="dxa"/>
        <w:tblLayout w:type="fixed"/>
        <w:tblCellMar>
          <w:top w:w="0" w:type="dxa"/>
          <w:left w:w="0" w:type="dxa"/>
          <w:bottom w:w="0" w:type="dxa"/>
          <w:right w:w="0" w:type="dxa"/>
        </w:tblCellMar>
      </w:tblPr>
      <w:tblGrid>
        <w:gridCol w:w="271"/>
        <w:gridCol w:w="9031"/>
      </w:tblGrid>
      <w:tr>
        <w:trPr/>
        <w:tc>
          <w:tcPr>
            <w:tcW w:w="271" w:type="dxa"/>
            <w:tcBorders/>
            <w:vAlign w:val="center"/>
          </w:tcPr>
          <w:p>
            <w:pPr>
              <w:pStyle w:val="TableContents"/>
              <w:bidi w:val="0"/>
              <w:spacing w:before="0" w:after="283"/>
              <w:jc w:val="left"/>
              <w:rPr>
                <w:color w:val="231F20"/>
              </w:rPr>
            </w:pPr>
            <w:r>
              <w:rPr>
                <w:color w:val="231F20"/>
              </w:rPr>
              <w:t>●</w:t>
            </w:r>
          </w:p>
        </w:tc>
        <w:tc>
          <w:tcPr>
            <w:tcW w:w="903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Gross profit was RMB126.5 million; gross margin improved to 36.6% from 30.6% in the same period of 2025.</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Earnings before interest, taxes, depreciation, and amortization (“</w:t>
            </w:r>
            <w:r>
              <w:rPr>
                <w:rFonts w:ascii="Times New Roman;Times;serif" w:hAnsi="Times New Roman;Times;serif"/>
                <w:b/>
                <w:i w:val="false"/>
                <w:caps w:val="false"/>
                <w:smallCaps w:val="false"/>
                <w:color w:val="231F20"/>
                <w:sz w:val="20"/>
              </w:rPr>
              <w:t>EBITDA</w:t>
            </w:r>
            <w:r>
              <w:rPr>
                <w:caps w:val="false"/>
                <w:smallCaps w:val="false"/>
                <w:color w:val="231F20"/>
              </w:rPr>
              <w:t>”</w:t>
            </w:r>
            <w:r>
              <w:rPr>
                <w:rFonts w:ascii="Times New Roman;Times;serif" w:hAnsi="Times New Roman;Times;serif"/>
                <w:b w:val="false"/>
                <w:i w:val="false"/>
                <w:caps w:val="false"/>
                <w:smallCaps w:val="false"/>
                <w:color w:val="231F20"/>
                <w:sz w:val="20"/>
              </w:rPr>
              <w:t>) was negative RMB667.0 million, narrowing by 6.5% YoY.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HIGHLIGHTS FOR THE SIX MONTHS ENDED JUNE 30, 2026</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July 31, 2026, the Group’s global L4 fleet comprised approximately 3,400 vehicles, including more than 1,800 robotaxis.</w:t>
            </w:r>
          </w:p>
        </w:tc>
      </w:tr>
    </w:tbl>
    <w:tbl>
      <w:tblPr>
        <w:tblW w:w="8732" w:type="dxa"/>
        <w:jc w:val="left"/>
        <w:tblInd w:w="0" w:type="dxa"/>
        <w:tblLayout w:type="fixed"/>
        <w:tblCellMar>
          <w:top w:w="0" w:type="dxa"/>
          <w:left w:w="0" w:type="dxa"/>
          <w:bottom w:w="0" w:type="dxa"/>
          <w:right w:w="0" w:type="dxa"/>
        </w:tblCellMar>
      </w:tblPr>
      <w:tblGrid>
        <w:gridCol w:w="271"/>
        <w:gridCol w:w="8461"/>
      </w:tblGrid>
      <w:tr>
        <w:trPr/>
        <w:tc>
          <w:tcPr>
            <w:tcW w:w="271" w:type="dxa"/>
            <w:tcBorders/>
            <w:vAlign w:val="center"/>
          </w:tcPr>
          <w:p>
            <w:pPr>
              <w:pStyle w:val="TableContents"/>
              <w:bidi w:val="0"/>
              <w:spacing w:before="0" w:after="283"/>
              <w:jc w:val="left"/>
              <w:rPr>
                <w:color w:val="231F20"/>
              </w:rPr>
            </w:pPr>
            <w:r>
              <w:rPr>
                <w:color w:val="231F20"/>
              </w:rPr>
              <w:t>●</w:t>
            </w:r>
          </w:p>
        </w:tc>
        <w:tc>
          <w:tcPr>
            <w:tcW w:w="84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rapidly replicating its asset-light robotaxi business model in additional overseas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Spain, the Group and Uber announced plans to launch Spain’s first commercial robotaxi pilot in the Region of Madrid, marking our fourth joint deployment globally and our first entry into the European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Switzerland, the Group is working with Uber to advance the deployment of robotaxi services in the Greater Zurich Region, marking our fifth joint deployment globally and second in Europe.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Denmark, the strategic partnership with GreenMobility (Nasdaq Copenhagen: GREENM) marked the Group’s sixth European market and first in the Nordic region.</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Singapore, the Group commenced public operations in Punggol district in partnership with Grab.</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Middle East, building on our achievement of fully driverless robotaxi operations in Abu Dhabi and Dubai, our overall robotaxi service area covers more than 70% of the core urban area in the city. As of July 31, 2026, our robotaxi fleet in the Middle East was approximately 400 vehicles.</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continued to enhance the scale and efficiency of its robotaxi operations in the Chinese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In 2Q2026, average daily rides per vehicle increased by 24% quarter over quarter (“</w:t>
            </w:r>
            <w:r>
              <w:rPr>
                <w:rFonts w:ascii="Times New Roman;Times;serif" w:hAnsi="Times New Roman;Times;serif"/>
                <w:b/>
                <w:i w:val="false"/>
                <w:caps w:val="false"/>
                <w:smallCaps w:val="false"/>
                <w:color w:val="231F20"/>
                <w:sz w:val="20"/>
              </w:rPr>
              <w:t>QoQ</w:t>
            </w:r>
            <w:r>
              <w:rPr>
                <w:caps w:val="false"/>
                <w:smallCaps w:val="false"/>
                <w:color w:val="231F20"/>
              </w:rPr>
              <w:t>”</w:t>
            </w:r>
            <w:r>
              <w:rPr>
                <w:rFonts w:ascii="Times New Roman;Times;serif" w:hAnsi="Times New Roman;Times;serif"/>
                <w:b w:val="false"/>
                <w:i w:val="false"/>
                <w:caps w:val="false"/>
                <w:smallCaps w:val="false"/>
                <w:color w:val="231F20"/>
                <w:sz w:val="20"/>
              </w:rPr>
              <w:t>) to over 21 rides, with peak daily completed rides per vehicle reaching 28; quarterly domestic ride-hailing revenue increased by approximately 140% QoQ.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Guangzhou, the fully driverless robotaxi service area tripled compared with the end of 2025, covering Huangpu, Tianhe and Haizhu districts with commercial operations available 24/7.</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2Q2026, registered users of WeRide robotaxi service saw QoQ growth of 35%.</w:t>
            </w:r>
          </w:p>
        </w:tc>
      </w:tr>
    </w:tbl>
    <w:tbl>
      <w:tblPr>
        <w:tblW w:w="7022" w:type="dxa"/>
        <w:jc w:val="left"/>
        <w:tblInd w:w="0" w:type="dxa"/>
        <w:tblLayout w:type="fixed"/>
        <w:tblCellMar>
          <w:top w:w="0" w:type="dxa"/>
          <w:left w:w="0" w:type="dxa"/>
          <w:bottom w:w="0" w:type="dxa"/>
          <w:right w:w="0" w:type="dxa"/>
        </w:tblCellMar>
      </w:tblPr>
      <w:tblGrid>
        <w:gridCol w:w="271"/>
        <w:gridCol w:w="6751"/>
      </w:tblGrid>
      <w:tr>
        <w:trPr/>
        <w:tc>
          <w:tcPr>
            <w:tcW w:w="271" w:type="dxa"/>
            <w:tcBorders/>
            <w:vAlign w:val="center"/>
          </w:tcPr>
          <w:p>
            <w:pPr>
              <w:pStyle w:val="TableContents"/>
              <w:bidi w:val="0"/>
              <w:spacing w:before="0" w:after="283"/>
              <w:jc w:val="left"/>
              <w:rPr>
                <w:color w:val="231F20"/>
              </w:rPr>
            </w:pPr>
            <w:r>
              <w:rPr>
                <w:color w:val="231F20"/>
              </w:rPr>
              <w:t>●</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achieved significant progress in other autonomous driving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robobus service in Zurich became the first in Europe to operate without a front-seat safety operator, with its service in Leuven, Belgium, expected to follow in 3Q2026. The Group also partnered with Renault Group for the third consecutive year to provide robobus shuttle services during the Roland Garros French Open. In addition, it operates robobus mobility services in Japan, Saudi Arabia, Singapore and the UAE.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the date of this interim report, our autonomous driving businesses have expanded to more than 60 cities across 13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12" w:type="dxa"/>
        <w:jc w:val="left"/>
        <w:tblInd w:w="0" w:type="dxa"/>
        <w:tblLayout w:type="fixed"/>
        <w:tblCellMar>
          <w:top w:w="0" w:type="dxa"/>
          <w:left w:w="0" w:type="dxa"/>
          <w:bottom w:w="0" w:type="dxa"/>
          <w:right w:w="0" w:type="dxa"/>
        </w:tblCellMar>
      </w:tblPr>
      <w:tblGrid>
        <w:gridCol w:w="271"/>
        <w:gridCol w:w="5341"/>
      </w:tblGrid>
      <w:tr>
        <w:trPr/>
        <w:tc>
          <w:tcPr>
            <w:tcW w:w="271" w:type="dxa"/>
            <w:tcBorders/>
            <w:vAlign w:val="center"/>
          </w:tcPr>
          <w:p>
            <w:pPr>
              <w:pStyle w:val="TableContents"/>
              <w:bidi w:val="0"/>
              <w:spacing w:before="0" w:after="283"/>
              <w:jc w:val="left"/>
              <w:rPr>
                <w:color w:val="231F20"/>
              </w:rPr>
            </w:pPr>
            <w:r>
              <w:rPr>
                <w:color w:val="231F20"/>
              </w:rPr>
              <w:t>●</w:t>
            </w:r>
          </w:p>
        </w:tc>
        <w:tc>
          <w:tcPr>
            <w:tcW w:w="534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L2++/L3 solutions entered a phase of rapid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In 2Q2026, total deliveries of WRD 3.0, our one-stage, end-to-end L2++/L3 solution, were approximately 30,000 units. To date, the Group has secured L2++ production design wins for over </w:t>
            </w:r>
            <w:r>
              <w:rPr>
                <w:rFonts w:ascii="Times New Roman;Times;serif" w:hAnsi="Times New Roman;Times;serif"/>
                <w:b w:val="false"/>
                <w:i w:val="false"/>
                <w:caps w:val="false"/>
                <w:smallCaps w:val="false"/>
                <w:sz w:val="20"/>
              </w:rPr>
              <w:t>30 vehicle models. WRD 3.0 has also begun on-road testing and localization validation in France, Germany, Japan and other overseas markets.</w:t>
            </w:r>
          </w:p>
        </w:tc>
      </w:tr>
    </w:tbl>
    <w:tbl>
      <w:tblPr>
        <w:tblW w:w="8972" w:type="dxa"/>
        <w:jc w:val="left"/>
        <w:tblInd w:w="0" w:type="dxa"/>
        <w:tblLayout w:type="fixed"/>
        <w:tblCellMar>
          <w:top w:w="0" w:type="dxa"/>
          <w:left w:w="0" w:type="dxa"/>
          <w:bottom w:w="0" w:type="dxa"/>
          <w:right w:w="0" w:type="dxa"/>
        </w:tblCellMar>
      </w:tblPr>
      <w:tblGrid>
        <w:gridCol w:w="271"/>
        <w:gridCol w:w="8701"/>
      </w:tblGrid>
      <w:tr>
        <w:trPr/>
        <w:tc>
          <w:tcPr>
            <w:tcW w:w="271" w:type="dxa"/>
            <w:tcBorders/>
            <w:vAlign w:val="center"/>
          </w:tcPr>
          <w:p>
            <w:pPr>
              <w:pStyle w:val="TableContents"/>
              <w:bidi w:val="0"/>
              <w:spacing w:before="0" w:after="283"/>
              <w:jc w:val="left"/>
              <w:rPr>
                <w:color w:val="231F20"/>
              </w:rPr>
            </w:pPr>
            <w:r>
              <w:rPr>
                <w:color w:val="231F20"/>
              </w:rPr>
              <w:t>●</w:t>
            </w:r>
          </w:p>
        </w:tc>
        <w:tc>
          <w:tcPr>
            <w:tcW w:w="870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further strengthened its technology foundation through WeRide GENESIS and WeRide WITT.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WeRide GENESIS compresses millions of kilometers of road testing into days and reduces data collection and annotation costs by over 75%. It received two international technology awards in June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WeRide WITT, the Group’s physical AI cognitive foundation model, derives fundamental principles governing the physical world from operational data. It reduces token costs by up to 98%, processes up to 10,000 minutes of vehicle-operation video per day on a single GPU and delivers up to 200 times greater data-processing efficiency on comparable workloads.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June 2026, the Group announced the joint development of robotaxis specifically designed for right-hand-drive markets with Geely Farizon and Kwoon Chung Bus Holdings Limited. The deployment of commercial right-hand-drive robotaxi services will begin in Singapore and Hong Kong, paving the way for broader adoption of autonomous mobility solutions across right-hand-drive markets worldwide.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 w:name="BUSINESSREVIEWANDOUTLOOK_316280"/>
      <w:bookmarkStart w:id="17" w:name="_414c07fc_cc5e_4a4e_8868_0201462f08cd"/>
      <w:bookmarkEnd w:id="16"/>
      <w:bookmarkEnd w:id="17"/>
      <w:r>
        <w:rPr>
          <w:rFonts w:ascii="Times New Roman;Times;serif" w:hAnsi="Times New Roman;Times;serif"/>
          <w:b/>
          <w:sz w:val="20"/>
        </w:rPr>
        <w:t>BUSINESS REVIEW AND OUTLOOK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REVIEW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Overall Performance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delivered strong results in the Reporting Period, with total revenue reaching RMB345.9 million, an increase of 73.3% from RMB199.6 million in the same period of 2025. During the Reporting Period, overseas revenue increased by 154.4% YoY, continuing its rapid growth trajectory and underscoring the progressive rollout of the Group’s proven asset-light overseas expansion model.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Gross profit for the Reporting Period was RMB126.5 million, with gross margin improving to 36.6% from the same period of 2025, mainly attributable to the increasing contribution from higher-margin L2++/L3 solutions, as well as overseas L4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EBITDA for the Reporting Period was negative RMB667.0 million, narrowing by 6.5% from negative RMB713.3 million for the same period of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L4 Robotaxi</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Robotaxi is the Group’s flagship product and the central driver of our commercialization strategy. As of July 31, 2026, the Group’s global L4 fleet comprised approximately 3,400 vehicles, including more than 1,800 robotaxis.</w:t>
      </w:r>
    </w:p>
    <w:p>
      <w:pPr>
        <w:pStyle w:val="TextBody"/>
        <w:bidi w:val="0"/>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Overseas operations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Spain, the Group and Uber announced plans to launch Spain’s first commercial robotaxi pilot in the Region of Madrid, marking our fourth joint deployment globally and our first entry into the European market together. The service is expected to begin operations later this year. In Switzerland, following its receipt of the first driverless robotaxi permit from FEDRO in November 2025, the Group is working with Uber to advance the deployment of robotaxi services in the Greater Zurich Region, marking our fifth joint deployment globally and second in Europe. Prior to this project, the Group had launched robotaxi services in Zurich in collaboration with Swiss Federal Railways (Schweizerische Bundesbahnen, “SBB”), Swiss Transit Lab and ioki, a well-known European provider of on-demand mobility services. In Denmark, the Group entered its sixth European market and expanded into the Nordic region for the first time through a strategic partnership with GreenMobility. In addition, the Group launched Slovakia’s first autonomous driving program in March 2026 in partnership with ELEVATE Slovakia.</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the Middle East, building on fully driverless robotaxi operations in Abu Dhabi and Dubai — including Dubai’s first fully driverless, fare-charging service launched in April 2026 with Uber and Dubai’s Roads and Transport Authority — the Group’s overall approved service area now covers more than 70% of the core urban area in the city. As of July 31, 2026, our robotaxi fleet in the Middle East comprised approximately 400 vehicles.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Singapore, the Group commenced public operations in Singapore’s Punggol district in partnership with Grab, marking an important milestone in the Group’s Southeast Asia expansion.</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China operations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Reporting Period, fleet utilization and per-vehicle unit economics continued to improve. In 2Q2026, average daily rides per vehicle increased by 24% QoQ to over 21 rides, with peak daily completed rides per vehicle reaching 28. In 2Q2026, registered users of WeRide robotaxi service saw QoQ growth of 35%, with quarterly ride-hailing revenue increasing by approximately 140% QoQ. Building on its core operational hubs in Beijing and Guangzhou, the Group continuously expanded the service area of its fully driverless robotaxi services. In Guangzhou, the service area tripled compared with the end of 2025 and now spans the Huangpu, Tianhe and Haizhu districts with 24/7 commercial operations. These complex operating environments further validate the safety and operational stability of the Group’s autonomous driving system.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Other L4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continued to accelerate its global robobus rollout. In Zurich, its robobus began operating without a front-seat safety operator, marking the first deployment of its kind in Europe. The Group’s commercial robobus service in Leuven, Belgium, is planned to operate without a front-seat safety operator in 3Q2026. The Group also partnered with Renault Group for the third consecutive year to provide robobus shuttle services during the Roland Garros French Open. In addition, the Group operates robobus mobility services in Japan, Saudi Arabia, Singapore, and the UAE.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the date of this interim report, our autonomous driving businesses have expanded to more than 60 cities across 13 countries.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L2++/L3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one-stage, end-to-end L2++/L3 solution, WRD 3.0, entered a phase of rapid growth. In 2Q2026, total deliveries of WRD 3.0 were approximately 30,000 units. To date, the Group has secured L2++ production design wins for over 30 vehicle models. In April 2026, GAC Aion officially launched the Aion N60, its first mass-produced passenger vehicle jointly developed with the Group. The model also marked the Group’s first mass-production deployment of its one-stage, end-to-end technology on the Qualcomm Snapdragon platform. In the same month, WRD 3.0 became the first and only six-time consecutive champion of the China Urban Intelligent Driving Competition. WRD 3.0 has also begun on-road testing and localization validation in France, Germany, Japan and other overseas markets.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Technology Development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Reporting Period, the Group further strengthened its technology foundation. WeRide GENESIS, the Group’s proprietary world model, creates a closed loop from perceiving to understanding the physical world, enabling systems to train, validate and iterate in large-scale, high-fidelity virtual environments, compressing millions of kilometers of road testing into days while reducing data collection and annotation costs by more than 75%. In June 2026, WeRide GENESIS received the Simulation Innovation Award at the 2026 Automotive Testing Technology International Awards and the Overall Gen-AI Solution of the Year at the 2026 AI Breakthrough Awards.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July 2026, the Group introduced WeRide WITT, its physical AI cognitive foundation model, which continuously extracts fundamental principles governing the physical world from vast volumes of operational data. Compared with general-purpose AI models that often rely on hundreds of billions of parameters, WeRide WITT reduces token costs by up to 98%, processes up to 10,000 minutes of vehicle-operation video per day on a single GPU, and delivers up to 200 times greater data-processing efficiency on comparable workloads.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June 2026, we announced the joint development of robotaxis specifically designed for right-hand-drive markets, as part of a strategic partnership with Geely Farizon and Kwoon Chung Bus Holdings Limited. The deployment of commercial right-hand-drive robotaxi services will begin in Singapore and Hong Kong, bringing transformative autonomous mobility solutions to right-hand-drive markets worldwide.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Looking ahead, the Group will continue to pursue a dual strategy featuring asset-light, high-margin overseas expansion and self-operated domestic growth. Overseas, the Group will expand into new markets to capture powerful compound scaling effects, with marginal costs declining and deployment efficiency improving as its geographic footprint expands. In China, it will increase fleet density and operational capacity while further developing its end-to-end local commercial ecosystem. Drawing on proven operational experience in China and overseas, the Group is developing a standardized global L4 operating system built around robotaxis to scale and roll out our validated commercial model worldwide. From a technology perspective, the Group’s continuously evolving full-stack data toolchain strengthens its physical AI infrastructure, accelerates algorithm iteration and reinforces its technological moat, further enhancing driving safety, system performance and adaptability across diverse operating scenarios.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Global Robotaxi scale-up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Across our prioritized core overseas markets with mature operations, we have established a comprehensive end-to-end commercial operating model, delivered consistent profitability at the individual city level, and maintained steady operational expansion. Building on this proven operational framework, we are advancing our commercial rollout across multiple European markets. We expect to launch Spain’s first commercial robotaxi service in Madrid by the end of 2026, expand autonomous mobility services across the Greater Zurich Area through our second collaborative deployment with Uber in Europe, and partner with GreenMobility to launch public autonomous transportation services in Denmark in 1H2027. Our proven overseas operating model generates compounding economies of scale, whereby marginal costs decline incrementally with each new market entry and enable rapid, cost-effective business replication across geographies. In China, we plan to expand our footprint into additional major cities, prioritizing key first-tier metropolitan areas, while continuing to refine our local commercial operating model and broaden the coverage of our domestic L4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Replicable asset-light overseas model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asset-light overseas expansion model is highly replicable, enabling rapid deployment at scale across multiple cities. Having established end-to-end commercial ecosystems in multiple international markets, the Group will continue to deepen its presence in key cities worldwide while further refining a standardized operating model for L4 urban mobility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L2++/L3 ramp-up and margin contribution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Built on the same technology platform as the Group’s L4 solutions, its one-stage, end-to-end L2++/L3 solution has entered a phase of rapid commercial growth. As the business scales, fixed investments can be leveraged more efficiently, creating the potential for meaningful incremental contributions to the Group’s overall profitability. The Group will continue to expand its OEM partnerships and advance the localization validation of WRD 3.0 in international markets, bringing its proven intelligent driving solutions to a broader range of customers worldwide.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 w:name="MANAGEMENTDISCUSSIONANDANALYSIS_531638"/>
      <w:bookmarkStart w:id="19" w:name="_06efe175_0f72_4552_872f_b98b1fde6286"/>
      <w:bookmarkEnd w:id="18"/>
      <w:bookmarkEnd w:id="19"/>
      <w:r>
        <w:rPr>
          <w:rFonts w:ascii="Times New Roman;Times;serif" w:hAnsi="Times New Roman;Times;serif"/>
          <w:b/>
          <w:sz w:val="20"/>
        </w:rPr>
        <w:t>MANAGEMENT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UNAUDITED CONSOLIDATED FINANCIAL RESULTS FOR THE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revenue increased by 73.3% to RMB345.9 million (US$51.0 million) for the six months ended June 30, 2026, compared with RMB199.6 million for the six months ended June 30, 2025. The increase was primarily driven by the continued expansion of our L4 business, led by robotaxi and robobus, as well as the rapid growth of our L2++/L3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revenue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Cost of revenue was RMB219.4 million (US$32.3 million) for the six months ended June 30, 2026, compared with RMB138.6 million for the six months ended June 30, 2025. The increase was primarily attributable to, and generally in line with, revenue growth in our L4 and AI infrastructure businesses</w:t>
      </w:r>
      <w:r>
        <w:rPr>
          <w:rFonts w:ascii="Times New Roman;Times;serif" w:hAnsi="Times New Roman;Times;serif"/>
          <w:sz w:val="15"/>
        </w:rPr>
        <w:t>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profit and gross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was RMB126.5 million (US$18.6 million) for the six months ended June 30, 2026, compared with RMB61.1 million for the six months ended June 30, 2025. Gross margin increased to 36.6% for the six months ended June 30, 2026, compared with 30.6% for the six months ended June 30, 2025. The gross margin expansion was mainly driven by increased revenue contribution from our higher-margin L2++/L3 business and overseas L4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were RMB1,001.6 million (US$147.6 million) for the six months ended June 30, 2026, compared with RMB951.4 million for the six months ended June 30, 2025.</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R&amp;D expenses were RMB797.7 million (US$117.6 million) for the six months ended June 30, 2026, compared with RMB644.6 million for the six months ended June 30, 2025. The increase was primarily due to higher personnel and outsourcing labor costs, depreciation and amortization expenses and cloud service fees.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Administrative expenses were RMB152.1 million (US$22.4 million) for the six months ended June 30, 2026, compared with RMB278.9 million for the six months ended June 30, 2025. The decrease was primarily due to lower share-based compensation expenses and reduced professional services fees related to our global offering and legal and compliance matters.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231F20"/>
              </w:rPr>
            </w:pPr>
            <w:r>
              <w:rPr>
                <w:color w:val="231F20"/>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Selling expenses were RMB51.9 million (US$7.6 million) for the six months ended June 30, 2026, compared with RMB27.8 million for the six months ended June 30, 2025. The increase was primarily due to higher personnel costs and increased marketing and advertising expenses.</w:t>
            </w:r>
          </w:p>
        </w:tc>
      </w:tr>
    </w:tbl>
    <w:p>
      <w:pPr>
        <w:pStyle w:val="TextBody"/>
        <w:bidi w:val="0"/>
        <w:spacing w:before="0" w:after="240"/>
        <w:ind w:left="141" w:right="0" w:hanging="0"/>
        <w:jc w:val="both"/>
        <w:rPr/>
      </w:pPr>
      <w:r>
        <w:rPr/>
        <w:t>​</w:t>
      </w:r>
    </w:p>
    <w:p>
      <w:pPr>
        <w:pStyle w:val="TextBody"/>
        <w:bidi w:val="0"/>
        <w:spacing w:before="0" w:after="240"/>
        <w:ind w:left="141" w:right="0" w:hanging="0"/>
        <w:jc w:val="both"/>
        <w:rPr/>
      </w:pPr>
      <w:r>
        <w:rPr/>
        <w:t>​</w:t>
      </w:r>
    </w:p>
    <w:p>
      <w:pPr>
        <w:pStyle w:val="TextBody"/>
        <w:bidi w:val="0"/>
        <w:spacing w:before="0" w:after="240"/>
        <w:ind w:left="141" w:right="0" w:hanging="0"/>
        <w:jc w:val="both"/>
        <w:rPr/>
      </w:pPr>
      <w:r>
        <w:rPr/>
        <w:t>​</w:t>
      </w:r>
    </w:p>
    <w:p>
      <w:pPr>
        <w:pStyle w:val="TextBody"/>
        <w:bidi w:val="0"/>
        <w:spacing w:before="0" w:after="240"/>
        <w:ind w:left="141"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AI infrastructure business mainly represents intelligent data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for the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Loss for the period was RMB789.8 million (US$116.4 million) for the six months ended June 30, 2026, compared with RMB791.5 million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Non-IFRS adjusted loss for the period was RMB664.6 million (US$98.0 million) for the six months ended June 30, 2026, compared with RMB595.1 million for the six months ended June 30, 2025. Non-IFRS adjusted loss for the period is defined as loss for the period excluding share-based compensation expenses and fair value changes of financial assets at fair value through profit and loss (“</w:t>
      </w:r>
      <w:r>
        <w:rPr>
          <w:rFonts w:ascii="Times New Roman;Times;serif" w:hAnsi="Times New Roman;Times;serif"/>
          <w:b/>
          <w:sz w:val="20"/>
        </w:rPr>
        <w:t>FVTPL</w:t>
      </w:r>
      <w:r>
        <w:rPr>
          <w:rFonts w:ascii="Times New Roman;Times;serif" w:hAnsi="Times New Roman;Times;serif"/>
          <w:sz w:val="20"/>
        </w:rPr>
        <w:t>”), as set out below:</w:t>
      </w:r>
    </w:p>
    <w:tbl>
      <w:tblPr>
        <w:tblW w:w="6857" w:type="dxa"/>
        <w:jc w:val="left"/>
        <w:tblInd w:w="0" w:type="dxa"/>
        <w:tblLayout w:type="fixed"/>
        <w:tblCellMar>
          <w:top w:w="0" w:type="dxa"/>
          <w:left w:w="0" w:type="dxa"/>
          <w:bottom w:w="0" w:type="dxa"/>
          <w:right w:w="0" w:type="dxa"/>
        </w:tblCellMar>
      </w:tblPr>
      <w:tblGrid>
        <w:gridCol w:w="3946"/>
        <w:gridCol w:w="286"/>
        <w:gridCol w:w="1109"/>
        <w:gridCol w:w="352"/>
        <w:gridCol w:w="1164"/>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505710" cy="175260"/>
                      <wp:effectExtent l="0" t="0" r="0" b="0"/>
                      <wp:wrapNone/>
                      <wp:docPr id="4" name="Frame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1610" cy="175260"/>
                      <wp:effectExtent l="0" t="0" r="0" b="0"/>
                      <wp:wrapNone/>
                      <wp:docPr id="5" name="Frame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04215" cy="175260"/>
                      <wp:effectExtent l="0" t="0" r="0" b="0"/>
                      <wp:wrapNone/>
                      <wp:docPr id="6" name="Frame6"/>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3520" cy="175260"/>
                      <wp:effectExtent l="0" t="0" r="0" b="0"/>
                      <wp:wrapNone/>
                      <wp:docPr id="7" name="Frame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39140" cy="175260"/>
                      <wp:effectExtent l="0" t="0" r="0" b="0"/>
                      <wp:wrapNone/>
                      <wp:docPr id="8" name="Frame8"/>
                      <a:graphic xmlns:a="http://schemas.openxmlformats.org/drawingml/2006/main">
                        <a:graphicData uri="http://schemas.microsoft.com/office/word/2010/wordprocessingShape">
                          <wps:wsp>
                            <wps:cNvSpPr txBox="1"/>
                            <wps:spPr>
                              <a:xfrm>
                                <a:off x="0" y="0"/>
                                <a:ext cx="739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color w:val="231F20"/>
              </w:rPr>
            </w:pPr>
            <w:r>
              <w:rPr>
                <w:color w:val="231F20"/>
              </w:rPr>
              <w:t>​</w:t>
            </w:r>
          </w:p>
        </w:tc>
        <w:tc>
          <w:tcPr>
            <w:tcW w:w="26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six months ended June 30,</w:t>
            </w:r>
          </w:p>
        </w:tc>
      </w:tr>
      <w:tr>
        <w:trPr/>
        <w:tc>
          <w:tcPr>
            <w:tcW w:w="39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color w:val="231F20"/>
              </w:rPr>
            </w:pPr>
            <w:r>
              <w:rPr>
                <w:color w:val="231F20"/>
              </w:rPr>
              <w:t>  ​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52" w:type="dxa"/>
            <w:tcBorders/>
            <w:vAlign w:val="center"/>
          </w:tcPr>
          <w:p>
            <w:pPr>
              <w:pStyle w:val="TableContents"/>
              <w:bidi w:val="0"/>
              <w:spacing w:before="0" w:after="0"/>
              <w:ind w:left="0" w:right="0" w:hanging="0"/>
              <w:jc w:val="left"/>
              <w:rPr>
                <w:color w:val="231F20"/>
              </w:rPr>
            </w:pPr>
            <w:r>
              <w:rPr>
                <w:color w:val="231F20"/>
              </w:rPr>
              <w:t>  ​ ​</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9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color w:val="231F20"/>
              </w:rPr>
            </w:pPr>
            <w:r>
              <w:rPr>
                <w:color w:val="231F20"/>
              </w:rPr>
              <w:t>  ​ ​</w:t>
            </w:r>
          </w:p>
        </w:tc>
        <w:tc>
          <w:tcPr>
            <w:tcW w:w="1109" w:type="dxa"/>
            <w:tcBorders/>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RMB’000</w:t>
            </w:r>
          </w:p>
        </w:tc>
        <w:tc>
          <w:tcPr>
            <w:tcW w:w="352" w:type="dxa"/>
            <w:tcBorders/>
            <w:vAlign w:val="center"/>
          </w:tcPr>
          <w:p>
            <w:pPr>
              <w:pStyle w:val="TableContents"/>
              <w:bidi w:val="0"/>
              <w:spacing w:before="0" w:after="0"/>
              <w:ind w:left="0" w:right="0" w:hanging="0"/>
              <w:jc w:val="left"/>
              <w:rPr>
                <w:color w:val="231F20"/>
              </w:rPr>
            </w:pPr>
            <w:r>
              <w:rPr>
                <w:color w:val="231F20"/>
              </w:rPr>
              <w:t>  ​ ​</w:t>
            </w:r>
          </w:p>
        </w:tc>
        <w:tc>
          <w:tcPr>
            <w:tcW w:w="1164"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RMB’000</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Loss for the period</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(791,517)</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Add:</w:t>
            </w:r>
          </w:p>
        </w:tc>
        <w:tc>
          <w:tcPr>
            <w:tcW w:w="286" w:type="dxa"/>
            <w:tcBorders/>
            <w:vAlign w:val="center"/>
          </w:tcPr>
          <w:p>
            <w:pPr>
              <w:pStyle w:val="TableContents"/>
              <w:bidi w:val="0"/>
              <w:spacing w:before="0" w:after="0"/>
              <w:ind w:left="0" w:right="0" w:hanging="0"/>
              <w:jc w:val="left"/>
              <w:rPr>
                <w:color w:val="231F20"/>
              </w:rPr>
            </w:pPr>
            <w:r>
              <w:rPr>
                <w:color w:val="231F20"/>
              </w:rPr>
              <w:t> </w:t>
            </w:r>
          </w:p>
        </w:tc>
        <w:tc>
          <w:tcPr>
            <w:tcW w:w="1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Share-based compensation expenses</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219,522</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119,210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Fair value changes of financial assets at FVTPL</w:t>
            </w:r>
          </w:p>
        </w:tc>
        <w:tc>
          <w:tcPr>
            <w:tcW w:w="286" w:type="dxa"/>
            <w:tcBorders/>
            <w:vAlign w:val="center"/>
          </w:tcPr>
          <w:p>
            <w:pPr>
              <w:pStyle w:val="TableContents"/>
              <w:bidi w:val="0"/>
              <w:spacing w:before="0" w:after="0"/>
              <w:ind w:left="0" w:right="0" w:hanging="0"/>
              <w:jc w:val="left"/>
              <w:rPr>
                <w:color w:val="231F20"/>
              </w:rPr>
            </w:pPr>
            <w:r>
              <w:rPr>
                <w:color w:val="231F20"/>
              </w:rPr>
              <w:t>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(23,154)</w:t>
            </w:r>
          </w:p>
        </w:tc>
        <w:tc>
          <w:tcPr>
            <w:tcW w:w="352" w:type="dxa"/>
            <w:tcBorders/>
            <w:vAlign w:val="center"/>
          </w:tcPr>
          <w:p>
            <w:pPr>
              <w:pStyle w:val="TableContents"/>
              <w:bidi w:val="0"/>
              <w:spacing w:before="0" w:after="0"/>
              <w:ind w:left="0" w:right="0" w:hanging="0"/>
              <w:jc w:val="left"/>
              <w:rPr/>
            </w:pPr>
            <w:r>
              <w:rPr/>
              <w:t> </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5,909</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Adjusted loss for the period</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(595,149)</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(664,631)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was negative RMB667.0 million (US$98.3 million) for the six months ended June 30, 2026, narrowing by 6.5% compared with negative RMB713.3 million for the six months ended June 30, 2025. EBITDA is defined as loss for the period excluding income tax, finance costs, depreciation and amortization expenses, as set out below:</w:t>
      </w:r>
    </w:p>
    <w:tbl>
      <w:tblPr>
        <w:tblW w:w="6287" w:type="dxa"/>
        <w:jc w:val="left"/>
        <w:tblInd w:w="0" w:type="dxa"/>
        <w:tblLayout w:type="fixed"/>
        <w:tblCellMar>
          <w:top w:w="0" w:type="dxa"/>
          <w:left w:w="0" w:type="dxa"/>
          <w:bottom w:w="0" w:type="dxa"/>
          <w:right w:w="0" w:type="dxa"/>
        </w:tblCellMar>
      </w:tblPr>
      <w:tblGrid>
        <w:gridCol w:w="3376"/>
        <w:gridCol w:w="286"/>
        <w:gridCol w:w="1109"/>
        <w:gridCol w:w="352"/>
        <w:gridCol w:w="1164"/>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43760" cy="175260"/>
                      <wp:effectExtent l="0" t="0" r="0" b="0"/>
                      <wp:wrapNone/>
                      <wp:docPr id="9" name="Frame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81610" cy="175260"/>
                      <wp:effectExtent l="0" t="0" r="0" b="0"/>
                      <wp:wrapNone/>
                      <wp:docPr id="10" name="Frame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4215" cy="175260"/>
                      <wp:effectExtent l="0" t="0" r="0" b="0"/>
                      <wp:wrapNone/>
                      <wp:docPr id="11" name="Frame11"/>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3520" cy="175260"/>
                      <wp:effectExtent l="0" t="0" r="0" b="0"/>
                      <wp:wrapNone/>
                      <wp:docPr id="12" name="Frame1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39140" cy="175260"/>
                      <wp:effectExtent l="0" t="0" r="0" b="0"/>
                      <wp:wrapNone/>
                      <wp:docPr id="13" name="Frame13"/>
                      <a:graphic xmlns:a="http://schemas.openxmlformats.org/drawingml/2006/main">
                        <a:graphicData uri="http://schemas.microsoft.com/office/word/2010/wordprocessingShape">
                          <wps:wsp>
                            <wps:cNvSpPr txBox="1"/>
                            <wps:spPr>
                              <a:xfrm>
                                <a:off x="0" y="0"/>
                                <a:ext cx="739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color w:val="231F20"/>
              </w:rPr>
            </w:pPr>
            <w:r>
              <w:rPr>
                <w:color w:val="231F20"/>
              </w:rPr>
              <w:t>​</w:t>
            </w:r>
          </w:p>
        </w:tc>
        <w:tc>
          <w:tcPr>
            <w:tcW w:w="26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six months ended June 30,</w:t>
            </w:r>
          </w:p>
        </w:tc>
      </w:tr>
      <w:tr>
        <w:trPr/>
        <w:tc>
          <w:tcPr>
            <w:tcW w:w="3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color w:val="231F20"/>
              </w:rPr>
            </w:pPr>
            <w:r>
              <w:rPr>
                <w:color w:val="231F20"/>
              </w:rPr>
              <w:t>  ​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52" w:type="dxa"/>
            <w:tcBorders/>
            <w:vAlign w:val="center"/>
          </w:tcPr>
          <w:p>
            <w:pPr>
              <w:pStyle w:val="TableContents"/>
              <w:bidi w:val="0"/>
              <w:spacing w:before="0" w:after="0"/>
              <w:ind w:left="0" w:right="0" w:hanging="0"/>
              <w:jc w:val="left"/>
              <w:rPr>
                <w:color w:val="231F20"/>
              </w:rPr>
            </w:pPr>
            <w:r>
              <w:rPr>
                <w:color w:val="231F20"/>
              </w:rPr>
              <w:t>  ​ ​</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color w:val="231F20"/>
              </w:rPr>
            </w:pPr>
            <w:r>
              <w:rPr>
                <w:color w:val="231F20"/>
              </w:rPr>
              <w:t>​</w:t>
            </w:r>
          </w:p>
        </w:tc>
        <w:tc>
          <w:tcPr>
            <w:tcW w:w="1109" w:type="dxa"/>
            <w:tcBorders/>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RMB’000</w:t>
            </w:r>
          </w:p>
        </w:tc>
        <w:tc>
          <w:tcPr>
            <w:tcW w:w="35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RMB’000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Loss for the period</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(791,517)</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Add: Income tax</w:t>
            </w:r>
          </w:p>
        </w:tc>
        <w:tc>
          <w:tcPr>
            <w:tcW w:w="286" w:type="dxa"/>
            <w:tcBorders/>
            <w:vAlign w:val="center"/>
          </w:tcPr>
          <w:p>
            <w:pPr>
              <w:pStyle w:val="TableContents"/>
              <w:bidi w:val="0"/>
              <w:spacing w:before="0" w:after="0"/>
              <w:ind w:left="0" w:right="0" w:hanging="0"/>
              <w:jc w:val="left"/>
              <w:rPr>
                <w:color w:val="231F20"/>
              </w:rPr>
            </w:pPr>
            <w:r>
              <w:rPr>
                <w:color w:val="231F20"/>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1,877</w:t>
            </w:r>
          </w:p>
        </w:tc>
        <w:tc>
          <w:tcPr>
            <w:tcW w:w="352" w:type="dxa"/>
            <w:tcBorders/>
            <w:vAlign w:val="center"/>
          </w:tcPr>
          <w:p>
            <w:pPr>
              <w:pStyle w:val="TableContents"/>
              <w:bidi w:val="0"/>
              <w:spacing w:before="0" w:after="0"/>
              <w:ind w:left="0" w:right="0" w:hanging="0"/>
              <w:jc w:val="left"/>
              <w:rPr/>
            </w:pPr>
            <w:r>
              <w:rPr/>
              <w:t> </w:t>
            </w:r>
          </w:p>
        </w:tc>
        <w:tc>
          <w:tcPr>
            <w:tcW w:w="116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Finance costs</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3,292</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Depreciation and amortization expenses</w:t>
            </w:r>
          </w:p>
        </w:tc>
        <w:tc>
          <w:tcPr>
            <w:tcW w:w="286" w:type="dxa"/>
            <w:tcBorders/>
            <w:vAlign w:val="center"/>
          </w:tcPr>
          <w:p>
            <w:pPr>
              <w:pStyle w:val="TableContents"/>
              <w:bidi w:val="0"/>
              <w:spacing w:before="0" w:after="0"/>
              <w:ind w:left="0" w:right="0" w:hanging="0"/>
              <w:jc w:val="left"/>
              <w:rPr>
                <w:color w:val="231F20"/>
              </w:rPr>
            </w:pPr>
            <w:r>
              <w:rPr>
                <w:color w:val="231F20"/>
              </w:rPr>
              <w:t>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73,027</w:t>
            </w:r>
          </w:p>
        </w:tc>
        <w:tc>
          <w:tcPr>
            <w:tcW w:w="352" w:type="dxa"/>
            <w:tcBorders/>
            <w:vAlign w:val="center"/>
          </w:tcPr>
          <w:p>
            <w:pPr>
              <w:pStyle w:val="TableContents"/>
              <w:bidi w:val="0"/>
              <w:spacing w:before="0" w:after="0"/>
              <w:ind w:left="0" w:right="0" w:hanging="0"/>
              <w:jc w:val="left"/>
              <w:rPr/>
            </w:pPr>
            <w:r>
              <w:rPr/>
              <w:t> </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117,813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EBITDA</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(713,321)</w:t>
            </w:r>
          </w:p>
        </w:tc>
        <w:tc>
          <w:tcPr>
            <w:tcW w:w="352" w:type="dxa"/>
            <w:tcBorders/>
            <w:shd w:fill="CCEEFF" w:val="clear"/>
            <w:vAlign w:val="center"/>
          </w:tcPr>
          <w:p>
            <w:pPr>
              <w:pStyle w:val="TableContents"/>
              <w:bidi w:val="0"/>
              <w:spacing w:before="0" w:after="0"/>
              <w:ind w:left="0" w:right="0" w:hanging="0"/>
              <w:jc w:val="left"/>
              <w:rPr/>
            </w:pPr>
            <w:r>
              <w:rPr/>
              <w:t> </w:t>
            </w:r>
          </w:p>
        </w:tc>
        <w:tc>
          <w:tcPr>
            <w:tcW w:w="11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(666,989)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Basic and diluted loss per share/ADS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and diluted loss per ordinary share for the six months ended June 30, 2026 was RMB0.79 (US$0.12), compared with RMB0.87 for the six months ended June 30, 2025. Basic and diluted loss per ADS for the six months ended June 30, 2026 was RMB2.37 (US$0.36), compared with RMB2.61 for the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Group held RMB5,374.8 million (US$792.2 million) in cash and cash equivalents and time deposits, RMB2.3 million (US$0.3 million) in investments in wealth management products recorded as current financial assets at FVTPL, and RMB21.4 million (US$3.2 million) in restricted cash, for an aggregate amount of RMB5,398.5 million (US$795.6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Group had short-term bank loans of RMB485.0 million (US$71.5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Reporting Period, we primarily financed our operations through our existing cash. As of June 30, 2026, we had aggregate balances of RMB5.4 billion in cash, cash equivalents, time deposits, restricted cash, and investments in wealth management products, which were recorded in current financial assets at FVTPL, representing a decrease of 24.3% compared with RMB7.1 billion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follows a conservative set of funding and treasury policies to manage its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Bank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our outstanding bank borrowings amounted to RMB485.0 million, which were denominated in RMB and primarily used to supplement our working capital. The bank borrowings were repayable in one year, bearing interest rates of 2.11% to 2.21%.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Pledge of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our bank balances of RMB21.4 million were held as secured amounts in certain bank accounts for the issuance of letters of guarantee, and the payment of rentals and credit card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certain patents were pledged for certain bank loans.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Gearing ratio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gearing ratio increased from 12% as of December 31, 2025 to 18% as of June 30, 2026, calculated by dividing total liabilities by total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Reporting Period, the Group did not have any significant investments (including any investment in an investee company with a value of 5% or more of the Group’s total assets as of June 30, 2026). As of June 30, 2026, the Group did not have other plans for material investments and capital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Group had aggregate capital expenditure commitments amounting to RMB9.0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Group did not have any material contingent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acquisitions and disposals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did not conduct any material acquisitions and disposals during the Reporting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Foreign exchange risk arises when future commercial transactions or recognized assets and liabilities are denominated in a currency that is not the respective functional currency of our subsidiaries. We manage our foreign exchange risks by closely monitoring the movement of foreign currency rates and would consider hedging significant foreign currency exposure should the need arise.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Interest-bearing financial instruments at variable rates and at fixed rates expose the Group to cash flow interest rate risk and fair value interest risk, respectively. We determine the appropriate weightings of fixed and floating rate interest-bearing instruments based on current market conditions and perform regular reviews and monitoring to achieve an appropriate mix of fixed and floating rate exposure. We do not enter into financial derivatives to hedge interest rate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 and remuneration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Group had 4,952 full-time employees and 533 temporary employees (interns) globally, among whom 5,322 employees were based in China, including in Guangzhou, Shanghai, Beijing, and 163 employees outside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number of employees (including temporary employees) of the Group as of June 30, 2026.</w:t>
      </w:r>
    </w:p>
    <w:tbl>
      <w:tblPr>
        <w:tblW w:w="6576" w:type="dxa"/>
        <w:jc w:val="left"/>
        <w:tblInd w:w="0" w:type="dxa"/>
        <w:tblLayout w:type="fixed"/>
        <w:tblCellMar>
          <w:top w:w="0" w:type="dxa"/>
          <w:left w:w="0" w:type="dxa"/>
          <w:bottom w:w="0" w:type="dxa"/>
          <w:right w:w="0" w:type="dxa"/>
        </w:tblCellMar>
      </w:tblPr>
      <w:tblGrid>
        <w:gridCol w:w="3406"/>
        <w:gridCol w:w="346"/>
        <w:gridCol w:w="901"/>
        <w:gridCol w:w="346"/>
        <w:gridCol w:w="1231"/>
        <w:gridCol w:w="34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62810" cy="175260"/>
                      <wp:effectExtent l="0" t="0" r="0" b="0"/>
                      <wp:wrapNone/>
                      <wp:docPr id="14" name="Frame14"/>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2135" cy="175260"/>
                      <wp:effectExtent l="0" t="0" r="0" b="0"/>
                      <wp:wrapNone/>
                      <wp:docPr id="16" name="Frame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1685" cy="175260"/>
                      <wp:effectExtent l="0" t="0" r="0" b="0"/>
                      <wp:wrapNone/>
                      <wp:docPr id="18" name="Frame1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 of</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Percentage of </w:t>
            </w:r>
          </w:p>
        </w:tc>
        <w:tc>
          <w:tcPr>
            <w:tcW w:w="346" w:type="dxa"/>
            <w:tcBorders/>
            <w:vAlign w:val="center"/>
          </w:tcPr>
          <w:p>
            <w:pPr>
              <w:pStyle w:val="TableContents"/>
              <w:bidi w:val="0"/>
              <w:spacing w:before="0" w:after="0"/>
              <w:ind w:left="0" w:right="0" w:hanging="0"/>
              <w:jc w:val="left"/>
              <w:rPr>
                <w:color w:val="231F20"/>
              </w:rPr>
            </w:pPr>
            <w:r>
              <w:rPr>
                <w:color w:val="231F20"/>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Function</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color w:val="231F20"/>
              </w:rPr>
            </w:pPr>
            <w:r>
              <w:rPr>
                <w:color w:val="231F20"/>
              </w:rPr>
              <w:t> </w:t>
            </w:r>
            <w:r>
              <w:rPr>
                <w:rFonts w:ascii="Times New Roman;Times;serif" w:hAnsi="Times New Roman;Times;serif"/>
                <w:b/>
                <w:color w:val="231F20"/>
                <w:sz w:val="16"/>
              </w:rPr>
              <w:t>employees</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total employees</w:t>
            </w:r>
          </w:p>
        </w:tc>
        <w:tc>
          <w:tcPr>
            <w:tcW w:w="346" w:type="dxa"/>
            <w:tcBorders/>
            <w:vAlign w:val="center"/>
          </w:tcPr>
          <w:p>
            <w:pPr>
              <w:pStyle w:val="TableContents"/>
              <w:bidi w:val="0"/>
              <w:spacing w:before="0" w:after="0"/>
              <w:ind w:left="0" w:right="0" w:hanging="0"/>
              <w:jc w:val="left"/>
              <w:rPr>
                <w:color w:val="231F20"/>
              </w:rPr>
            </w:pPr>
            <w:r>
              <w:rPr>
                <w:color w:val="231F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R&amp;D engineering</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R&amp;D data processing</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4,125</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75.21</w:t>
            </w:r>
          </w:p>
        </w:tc>
        <w:tc>
          <w:tcPr>
            <w:tcW w:w="3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Sales and marketing</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Operations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w:t>
            </w:r>
          </w:p>
        </w:tc>
        <w:tc>
          <w:tcPr>
            <w:tcW w:w="3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General management and administration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Total</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5,485</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100.00</w:t>
            </w:r>
          </w:p>
        </w:tc>
        <w:tc>
          <w:tcPr>
            <w:tcW w:w="346"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mainly recruits its employees through on-campus job fairs, employee referrals, industry referrals and online channels including our corporate website and social networking platforms. The Group undertakes a strict interview process for recruitment purposes. The Group enters into standard employment agreements, as well as confidentiality and non-compete agreements with its employees in accordance with market practice. The Group has adopted a training protocol in the Chinese Mainland, pursuant to which it provides pre-employment and ongoing management and technical training to its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offers its employees competitive compensation packages, performance-based cash bonuses and other incentives. The Group participates in various employee social security plans for its PRC-based employees, including pension insurance, unemployment insurance, maternity insurance, work-related injury insurance, medical insurance, and housing provident fund.</w:t>
      </w:r>
    </w:p>
    <w:p>
      <w:pPr>
        <w:pStyle w:val="TextBody"/>
        <w:bidi w:val="0"/>
        <w:spacing w:before="0" w:after="240"/>
        <w:ind w:left="0" w:right="0" w:hanging="0"/>
        <w:jc w:val="left"/>
        <w:rPr>
          <w:rFonts w:ascii="Times New Roman;Times;serif" w:hAnsi="Times New Roman;Times;serif"/>
          <w:b/>
          <w:sz w:val="20"/>
        </w:rPr>
      </w:pPr>
      <w:bookmarkStart w:id="20" w:name="CORPORATEGOVERNANCE_59697"/>
      <w:bookmarkStart w:id="21" w:name="_521489ed_a3ac_4b82_93e4_db44dee1fa5e"/>
      <w:bookmarkEnd w:id="20"/>
      <w:bookmarkEnd w:id="21"/>
      <w:r>
        <w:rPr>
          <w:rFonts w:ascii="Times New Roman;Times;serif" w:hAnsi="Times New Roman;Times;serif"/>
          <w:b/>
          <w:sz w:val="20"/>
        </w:rPr>
        <w:t>CORPORATE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committed to achieving high standards of corporate governance with a view to safeguarding the interests of its Shareholders and enhancing corporate value and accountability.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WEIGHTED VOTING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controlled through weighted voting rights. Under this structure, the Company’s share capital comprises Class A Ordinary Shares and Class B Ordinary Shares. Each Class A Ordinary Share entitles the holder to exercise one vote, and each Class B Ordinary Share entitles the holder to exercise ten votes, on any resolution tabled at the Company’s general meetings, except for resolutions with respect to the Reserved Matters, in relation to which each Share is entitled to one vote.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WVR structure of the Company enables the WVR Beneficiaries to exercise voting control over the Company notwithstanding that they do not hold a majority economic interest in the share capital of the Company. This will enable the Company to benefit from the continuing vision and leadership of the WVR Beneficiaries who will control the Company with a view to its long-term prospects and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Investors are advised to be aware of the potential risks of investing in companies with a WVR structure, in particular that the interests of the WVR Beneficiaries may not necessarily always be aligned with those of the Shareholders as a whole, and that the WVR Beneficiaries will be in a position to exert significant influence over the affairs of the Company and the outcome of Shareholders’ resolutions. Investors should make the decision to invest in the Company only after due and careful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Latest Practicable Date, the WVR Beneficiaries are Dr. Han and Dr. Li, holding the Class A Ordinary Shares and the Class B Ordinary Shares through XHL (which is owned as to 80% by Dr. Han and as to 20% by Trident, the trustee of the Han Family Trust where Dr. Han is the protector and his descendants are the beneficiaries), THL (which is owned as to 51% by XHL and as to 49% by Trident, the trustee of the Han Family Trust), Humber Partners (which is owned as to 80% by Dr. Li and as to 20% by Trident, the trustee of the Li Family Trust where Dr. Li is the protector and his descendants are the beneficiaries), and Yanli (which is owned as to 51% by Humber Partners and as to 49% by Trident, the trustee of the Li Family Trust).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Latest Practicable Date, Dr. Han and Dr. Li beneficially owned and controlled, through their intermediaries, an aggregate of 27,129,666 Class A Ordinary Shares and 54,814,423 Class B Ordinary Shares, representing (i) 8.30% of the total issued share capital of the Company (excluding treasury Shares), (ii) 9.06% of the economic interest in the total issued share capital of the Company (excluding treasury Shares) taking into account their vested share options granted under the 2018 Share Plan, (iii) 39.44% of the voting rights in the Company (excluding treasury Shares and without taking into account the voting rights attached to the 21,420,342 Class A Ordinary Shares held by the Depositary as of the Latest Practicable Date which might be used to satisfy any future exercise or vesting of share options and share awards granted under the 2018 Share Plan and 2026 Share Plan) with respect to Shareholder resolutions relating to matters other than the Reserved Matters on the basis that each Class A Ordinary Share entitles the holder to exercise one vote and each Class B Ordinary Share entitles the holder to exercise ten votes, and (iv) 8.49% of the voting rights in the Company (excluding treasury Shares and without taking into account the voting rights attached to the 21,420,342 Class A Ordinary Shares held by the Depositary as of the Latest Practicable Date which might be used to satisfy any future exercise or vesting of share options and share awards granted under the 2018 Share Plan and 2026 Share Plan) with respect to Shareholder resolutions relating to the Reserved Matters on the basis that each Share entitles the holder to exercise one vote.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 B Ordinary Shares may be converted into Class A Ordinary Shares on a one-to-one ratio. As of the Latest Practicable Date, upon the conversion of all the issued and outstanding Class B Ordinary Shares into Class A Ordinary Shares, the Company will issue 54,814,423 Class A Ordinary Shares, representing approximately 5.55% of the total number of issued and outstanding Class A Ordinary Shares (excluding treasury Shares) (as enlarged by such Class A 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 voting rights attached to the Class B Ordinary Shares will cease when the WVR Beneficiaries no longer have beneficial ownership of, or economic interest in, or control over the voting rights attached to any of the Class B Ordinary Shares, in accordance with Rule 8A.22 of the Listing Rules. This may occur:</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upon the occurrence of any of the circumstances set out in Rule 8A.17 of the Listing Rules, in particular where the WVR Beneficiaries are: (1) deceased; (2) no longer a member of the Board; (3) deemed by the Stock Exchange to be incapacitated for the purpose of performing his duties as a Director; or (4) deemed by the Stock Exchange to no longer meet the requirements of a Director set out in the Listing Rules;</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the holders of Class B Ordinary Shares have transferred to another person the beneficial ownership of, or economic interest in, the Class B Ordinary Shares or the control over the voting rights attached to them, other than in the circumstances permitted by Rule 8A.18 of the Listing Rules;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w:t>
            </w:r>
          </w:p>
        </w:tc>
        <w:tc>
          <w:tcPr>
            <w:tcW w:w="97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where a vehicle holding Class B Ordinary Shares on behalf of a WVR Beneficiary no longer complies with Rule 8A.18(2) of the Listing Rules; or</w:t>
            </w:r>
          </w:p>
        </w:tc>
      </w:tr>
    </w:tbl>
    <w:tbl>
      <w:tblPr>
        <w:tblW w:w="7727" w:type="dxa"/>
        <w:jc w:val="left"/>
        <w:tblInd w:w="0" w:type="dxa"/>
        <w:tblLayout w:type="fixed"/>
        <w:tblCellMar>
          <w:top w:w="0" w:type="dxa"/>
          <w:left w:w="0" w:type="dxa"/>
          <w:bottom w:w="0" w:type="dxa"/>
          <w:right w:w="0" w:type="dxa"/>
        </w:tblCellMar>
      </w:tblPr>
      <w:tblGrid>
        <w:gridCol w:w="406"/>
        <w:gridCol w:w="7321"/>
      </w:tblGrid>
      <w:tr>
        <w:trPr/>
        <w:tc>
          <w:tcPr>
            <w:tcW w:w="40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(iv)</w:t>
            </w:r>
          </w:p>
        </w:tc>
        <w:tc>
          <w:tcPr>
            <w:tcW w:w="73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when all of the Class B Ordinary Shares have been converted to Class A Ordinary Shares.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applied for, and the Stock Exchange has granted, a waiver from strict compliance with Rule 8A.18(1) of the Listing Rules to facilitate (i) the allotment and issuance of new shares by XHL to Trident and (ii) the allotment and issuance of new shares by Humber Partners to Trident, on the basis, among others, that each of Dr. Han and Dr. Li remains the protector of his family trust and retains sole control over the voting rights attached to the Class B Ordinary Shares held within his family trust structure following the aforementioned share allotment and issuance. See the announcement of the Company dated July 13, 2026 for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COMPLIANCE WITH THE CORPORATE GOVERNANCE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the code provisions in the Corporate Governance Code set out in Appendix C1 to the Listing Rules as its own code to govern its corporate governance practices. During the Reporting Period, the Company has complied with all the code provisions of the Corporate Governance Code, save for the following.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code provision C.2.1 in Part 2 of the Corporate Governance Code, companies listed on the Stock Exchange are expected to comply with, but may choose to deviate from, the requirement that the roles of chairman and chief executive should be separate and should not be performed by the same individual. The Company does not have a separate chairman of the Board and CEO, and Dr. Tony Xu Han currently performs these two roles. The Board believes that vesting the roles of both the chairman of the Board and CEO in the same person has the benefit of ensuring consistent leadership within the Group and enabling more effective and efficient overall strategic planning and execution of strategic initiatives for the Group. The Board considers that the balance of power and authority for the present arrangement will not be impaired, and this structure will enable the Company to make and implement decisions promptly and effectively. The Board will continue to review this arrangement and will consider splitting the roles of the chairman of the Board and CEO at a time when it is appropriate taking into account the circumstances of the Group as a whole.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code provision C.1.5 in Part 2 of the Corporate Governance Code, non-executive directors and independent non-executive directors should attend general meetings to gain and develop a balanced understanding of the views of shareholders. Mr. Kazuhiro Doi (who resigned on March 31, 2026) and Dr. Tony Fan-cheong Chan were unable to attend the extraordinary general meeting held on March 13, 2026 due to other business commitments, and Mr. Ichijo Futakawa, Ms. Huiping Yan and Dr. Tony Fan-cheong Chan were unable to attend the annual general meeting held on June 26, 2026 due to other business commitments. The other Board members, including both executive Directors, namely Dr. Tony Xu Han and Dr. Yan Li, attended both general meetings and were available to answer shareholders’ questions. Prior to the meetings, the absent non-executive Directors and independent non-executive Directors had reviewed all relevant meeting materials, understood the matters to be considered, and expressed their views and discharged their duties as Directors. The Board is of the view that such temporary absence did not have any material adverse impact on the Company’s corporate governance standards, the effective functioning of the Board, or the daily operations of the Group. The Board will continue to monitor Directors’ attendance at general meetings and remind all Directors of their obligations in this regard.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COMPLIANCE WITH THE MODEL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the Model Code set out in Appendix C3 to the Listing Rules as its code of conduct regarding Directors’ securities transactions. Specific enquiry has been made of all the Directors and the relevant employees who are likely to be in possession of inside information of the Group, and they have confirmed that they have complied with the Model Code during the Reporting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COMMITTEES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established four committees, namely, the Audit Committee, the Compensation Committee, the Nomination Committee and the Corporate Governance Committee, for overseeing particular aspects of the Company’s affairs. Each of these committees is established with a defined written charter. The charters of the Board committees are available on the websites of the Company and the Stock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established an Audit Committee in compliance with Rule 3.21 of the Listing Rules and the Corporate Governance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duties of the Audit Committee include, among others, reviewing the adequacy and effectiveness of the accounting and internal control policies and procedures and any steps taken to monitor and control major financial risk exposures, reviewing and approving all proposed related party transactions, overseeing the audit process, and performing other duties and responsibilities assigned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of the Company comprises three independent non-executive Directors, namely Ms. Huiping Yan, Mr. David Zhang, and Dr. Tony Fan-cheong Chan, with Ms. Huiping Yan (being the independent non-executive Director with the appropriate accounting or related financial management expertise as required under Rules 3.10(2) and 3.21 of the Listing Rules) as the chairperson of the 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reviewed the unaudited consolidated financial statements and the unaudited interim results of the Group for the Reporting Period, and there is no disagreement between the Board and the Audit Committee regarding the accounting treatment adopted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met with the independent auditor of the Company, KPMG. The Audit Committee has also discussed matters with respect to the accounting policies and practices adopted by the Company and risk management and internal control systems and financial reporting matters with senior management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independent auditor of the Company, KPMG, has reviewed the unaudited condensed consolidated interim financial statements of the Group for the Reporting Period in accordance with Hong Kong Standard on Review Engagements 2410, </w:t>
      </w:r>
      <w:r>
        <w:rPr>
          <w:rFonts w:ascii="Times New Roman;Times;serif" w:hAnsi="Times New Roman;Times;serif"/>
          <w:i/>
          <w:sz w:val="20"/>
        </w:rPr>
        <w:t>Review of Interim Financial Information Performed by the Independent Auditor of the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established a Compensation Committee in compliance with Rule 3.25 of the Listing Rules and the Corporate Governance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duties of the Compensation Committee include, among others, making recommendations to the Board on the policy and structure for the remuneration of all Directors and senior management, reviewing and approving remuneration proposals with reference to the Board’s corporate goals and objectives, and performing other duties and responsibilities assigned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comprises one executive Director and three independent non-executive Directors, namely Mr. David Zhang, Dr. Han, Ms. Huiping Yan, and Dr. Tony Fan-cheong Chan, with Mr. Zhang serving as the chairperson.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Nomination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established a Nomination Committee in compliance with Rules 3.27A and 8A.27 of the Listing Rules and the Corporate Governance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duties of the Nomination Committee include, among others, reviewing the structure, size and composition of the Board, assisting the Board in maintaining a board skill matrix, assessing the independence of the independent non-executive Directors, selecting and recommending to the Board nominees for election by the Shareholders or appointment by the Board, and performing other duties and responsibilities assigned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Nomination Committee comprises one executive Director and three independent non-executive Directors, namely Mr. David Zhang, Dr. Han, Ms. Huiping Yan, and Dr. Tony Fan-cheong Chan, with Mr. Zhang serving as the chairperson.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established a Corporate Governance Committee in compliance with Rules 8A.30 and 8A.31 of the Listing Rules and the Corporate Governance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duties of the Corporate Governance Committee include, among others, developing and reviewing the policies and practices on corporate governance and making recommendations to the Board, ensuring that the Company is operated and managed for the benefit of all Shareholders, ensuring compliance with the Listing Rules and safeguards relating to the Company’s WVR structure, and performing other duties and responsibilities assigned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Corporate Governance Committee comprises three independent non-executive Directors, namely Mr. David Zhang, Ms. Huiping Yan, and Dr. Tony Fan-cheong Chan, with Mr. Zhang serving as the chairperson.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Corporate Governance Committee will be required to confirm to the Board it is of the view that the Company has adopted sufficient corporate governance measures to manage potential conflicts of interest between the Group and the beneficiaries of weighted voting rights in order to ensure that the operations and management of the Company are in the interests of the Shareholders as a whole indiscriminately.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Reporting Period, the Corporate Governance Committee reviewed the following matters:</w:t>
      </w:r>
    </w:p>
    <w:tbl>
      <w:tblPr>
        <w:tblW w:w="5597" w:type="dxa"/>
        <w:jc w:val="left"/>
        <w:tblInd w:w="0" w:type="dxa"/>
        <w:tblLayout w:type="fixed"/>
        <w:tblCellMar>
          <w:top w:w="0" w:type="dxa"/>
          <w:left w:w="0" w:type="dxa"/>
          <w:bottom w:w="0" w:type="dxa"/>
          <w:right w:w="0" w:type="dxa"/>
        </w:tblCellMar>
      </w:tblPr>
      <w:tblGrid>
        <w:gridCol w:w="301"/>
        <w:gridCol w:w="5296"/>
      </w:tblGrid>
      <w:tr>
        <w:trPr/>
        <w:tc>
          <w:tcPr>
            <w:tcW w:w="30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52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policies and practices on corporate governance;</w:t>
            </w:r>
          </w:p>
        </w:tc>
      </w:tr>
    </w:tbl>
    <w:tbl>
      <w:tblPr>
        <w:tblW w:w="7892" w:type="dxa"/>
        <w:jc w:val="left"/>
        <w:tblInd w:w="0" w:type="dxa"/>
        <w:tblLayout w:type="fixed"/>
        <w:tblCellMar>
          <w:top w:w="0" w:type="dxa"/>
          <w:left w:w="0" w:type="dxa"/>
          <w:bottom w:w="0" w:type="dxa"/>
          <w:right w:w="0" w:type="dxa"/>
        </w:tblCellMar>
      </w:tblPr>
      <w:tblGrid>
        <w:gridCol w:w="361"/>
        <w:gridCol w:w="7531"/>
      </w:tblGrid>
      <w:tr>
        <w:trPr/>
        <w:tc>
          <w:tcPr>
            <w:tcW w:w="36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w:t>
            </w:r>
          </w:p>
        </w:tc>
        <w:tc>
          <w:tcPr>
            <w:tcW w:w="753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training and continuous professional development of directors and senior management;</w:t>
            </w:r>
          </w:p>
        </w:tc>
      </w:tr>
    </w:tbl>
    <w:tbl>
      <w:tblPr>
        <w:tblW w:w="6992" w:type="dxa"/>
        <w:jc w:val="left"/>
        <w:tblInd w:w="0" w:type="dxa"/>
        <w:tblLayout w:type="fixed"/>
        <w:tblCellMar>
          <w:top w:w="0" w:type="dxa"/>
          <w:left w:w="0" w:type="dxa"/>
          <w:bottom w:w="0" w:type="dxa"/>
          <w:right w:w="0" w:type="dxa"/>
        </w:tblCellMar>
      </w:tblPr>
      <w:tblGrid>
        <w:gridCol w:w="421"/>
        <w:gridCol w:w="6571"/>
      </w:tblGrid>
      <w:tr>
        <w:trPr/>
        <w:tc>
          <w:tcPr>
            <w:tcW w:w="42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(iii)</w:t>
            </w:r>
          </w:p>
        </w:tc>
        <w:tc>
          <w:tcPr>
            <w:tcW w:w="657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code of business conduct and ethics applicable to Directors and employees;</w:t>
            </w:r>
          </w:p>
        </w:tc>
      </w:tr>
    </w:tbl>
    <w:tbl>
      <w:tblPr>
        <w:tblW w:w="9992" w:type="dxa"/>
        <w:jc w:val="left"/>
        <w:tblInd w:w="0" w:type="dxa"/>
        <w:tblLayout w:type="fixed"/>
        <w:tblCellMar>
          <w:top w:w="0" w:type="dxa"/>
          <w:left w:w="0" w:type="dxa"/>
          <w:bottom w:w="0" w:type="dxa"/>
          <w:right w:w="0" w:type="dxa"/>
        </w:tblCellMar>
      </w:tblPr>
      <w:tblGrid>
        <w:gridCol w:w="406"/>
        <w:gridCol w:w="9586"/>
      </w:tblGrid>
      <w:tr>
        <w:trPr/>
        <w:tc>
          <w:tcPr>
            <w:tcW w:w="40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(iv)</w:t>
            </w:r>
          </w:p>
        </w:tc>
        <w:tc>
          <w:tcPr>
            <w:tcW w:w="958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compliance with the Corporate Governance Code and disclosure in this corporate governance report;</w:t>
            </w:r>
          </w:p>
        </w:tc>
      </w:tr>
    </w:tbl>
    <w:tbl>
      <w:tblPr>
        <w:tblW w:w="7442" w:type="dxa"/>
        <w:jc w:val="left"/>
        <w:tblInd w:w="0" w:type="dxa"/>
        <w:tblLayout w:type="fixed"/>
        <w:tblCellMar>
          <w:top w:w="0" w:type="dxa"/>
          <w:left w:w="0" w:type="dxa"/>
          <w:bottom w:w="0" w:type="dxa"/>
          <w:right w:w="0" w:type="dxa"/>
        </w:tblCellMar>
      </w:tblPr>
      <w:tblGrid>
        <w:gridCol w:w="346"/>
        <w:gridCol w:w="709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(v)</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whether the Company is operated and managed for the benefit of all the Shareholders;</w:t>
            </w:r>
          </w:p>
        </w:tc>
      </w:tr>
    </w:tbl>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(vi)</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management of conflicts of interest of the Company and any potential conflicts of interest between the Company, its subsidiaries and/or Shareholder on one hand and the WVR Beneficiaries on the other;</w:t>
            </w:r>
          </w:p>
        </w:tc>
      </w:tr>
    </w:tbl>
    <w:tbl>
      <w:tblPr>
        <w:tblW w:w="10205" w:type="dxa"/>
        <w:jc w:val="left"/>
        <w:tblInd w:w="0" w:type="dxa"/>
        <w:tblLayout w:type="fixed"/>
        <w:tblCellMar>
          <w:top w:w="0" w:type="dxa"/>
          <w:left w:w="0" w:type="dxa"/>
          <w:bottom w:w="0" w:type="dxa"/>
          <w:right w:w="0" w:type="dxa"/>
        </w:tblCellMar>
      </w:tblPr>
      <w:tblGrid>
        <w:gridCol w:w="444"/>
        <w:gridCol w:w="9761"/>
      </w:tblGrid>
      <w:tr>
        <w:trPr/>
        <w:tc>
          <w:tcPr>
            <w:tcW w:w="44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(vii)</w:t>
            </w:r>
          </w:p>
        </w:tc>
        <w:tc>
          <w:tcPr>
            <w:tcW w:w="97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risks related to the Company’s WVR structure, including connected transactions between the Company and its subsidiaries on one hand and any WVR Beneficiary on the other;</w:t>
            </w:r>
          </w:p>
        </w:tc>
      </w:tr>
    </w:tbl>
    <w:tbl>
      <w:tblPr>
        <w:tblW w:w="10205" w:type="dxa"/>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(viii)</w:t>
            </w:r>
          </w:p>
        </w:tc>
        <w:tc>
          <w:tcPr>
            <w:tcW w:w="969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 and ongoing communication between the Company and the Shareholders, particularly with regard to the requirements of Rule 8A.35 of the Listing Rules;</w:t>
            </w:r>
          </w:p>
        </w:tc>
      </w:tr>
    </w:tbl>
    <w:tbl>
      <w:tblPr>
        <w:tblW w:w="9062" w:type="dxa"/>
        <w:jc w:val="left"/>
        <w:tblInd w:w="0" w:type="dxa"/>
        <w:tblLayout w:type="fixed"/>
        <w:tblCellMar>
          <w:top w:w="0" w:type="dxa"/>
          <w:left w:w="0" w:type="dxa"/>
          <w:bottom w:w="0" w:type="dxa"/>
          <w:right w:w="0" w:type="dxa"/>
        </w:tblCellMar>
      </w:tblPr>
      <w:tblGrid>
        <w:gridCol w:w="406"/>
        <w:gridCol w:w="8656"/>
      </w:tblGrid>
      <w:tr>
        <w:trPr/>
        <w:tc>
          <w:tcPr>
            <w:tcW w:w="40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(ix)</w:t>
            </w:r>
          </w:p>
        </w:tc>
        <w:tc>
          <w:tcPr>
            <w:tcW w:w="86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various policies and practices on compliance with legal and regulatory requirements; and</w:t>
            </w:r>
          </w:p>
        </w:tc>
      </w:tr>
    </w:tbl>
    <w:tbl>
      <w:tblPr>
        <w:tblW w:w="4952" w:type="dxa"/>
        <w:jc w:val="left"/>
        <w:tblInd w:w="0" w:type="dxa"/>
        <w:tblLayout w:type="fixed"/>
        <w:tblCellMar>
          <w:top w:w="0" w:type="dxa"/>
          <w:left w:w="0" w:type="dxa"/>
          <w:bottom w:w="0" w:type="dxa"/>
          <w:right w:w="0" w:type="dxa"/>
        </w:tblCellMar>
      </w:tblPr>
      <w:tblGrid>
        <w:gridCol w:w="346"/>
        <w:gridCol w:w="460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(x)</w:t>
            </w:r>
          </w:p>
        </w:tc>
        <w:tc>
          <w:tcPr>
            <w:tcW w:w="460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matters covered in Rule 8A.30 of the Listing Rules.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Corporate Governance Committee reviewed and confirmed to the Board that there are sufficient corporate governance measures to manage the potential conflicts of interest between the Group and the WVR Beneficiaries. The measures include: (i) any connected transactions are disclosed and dealt with in accordance with the requirements of the Listing Rules, (ii) any Directors who have a conflict of interest must abstain from voting on the relevant board resolution, and (iii) the compliance advisor is consulted on any matters related to transactions involving the WVR Beneficiaries or a potential conflict of interest between the Group and the WVR Beneficiaries. The Corporate Governance Committee recommended the Board to continue the implementation of the corporate governance measures and to review the effectiveness of these measures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reviewing the remuneration and terms of engagement of the compliance advisor, the Corporate Governance Committee confirmed to the Board that nothing has come to its attention that would require it to consider either the removal of the current compliance advisor or the appointment of a new compliance advisor. Therefore, the Corporate Governance Committee recommended the Board to continue the engagement of the current compliance advisor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Corporate Governance Committee has confirmed that (i) the WVR Beneficiaries have been members of the Board throughout the Reporting Period, (ii) no matters under Rule 8A.17 of the Listing Rules have occurred during the Reporting Period, and (iii) the WVR Beneficiaries have complied with Rules 8A.14, 8A.15, 8A.18 and 8A.24 of the Listing Rules throughout the Reporting Period.</w:t>
      </w:r>
    </w:p>
    <w:p>
      <w:pPr>
        <w:pStyle w:val="TextBody"/>
        <w:bidi w:val="0"/>
        <w:spacing w:before="0" w:after="240"/>
        <w:ind w:left="0" w:right="0" w:hanging="0"/>
        <w:jc w:val="left"/>
        <w:rPr>
          <w:rFonts w:ascii="Times New Roman;Times;serif" w:hAnsi="Times New Roman;Times;serif"/>
          <w:b/>
          <w:sz w:val="20"/>
        </w:rPr>
      </w:pPr>
      <w:bookmarkStart w:id="22" w:name="OTHERINFORMATION_831217"/>
      <w:bookmarkStart w:id="23" w:name="_37007e3a_0d9f_4260_a130_574331b91f8c"/>
      <w:bookmarkEnd w:id="22"/>
      <w:bookmarkEnd w:id="23"/>
      <w:r>
        <w:rPr>
          <w:rFonts w:ascii="Times New Roman;Times;serif" w:hAnsi="Times New Roman;Times;serif"/>
          <w:b/>
          <w:sz w:val="20"/>
        </w:rPr>
        <w:t>OTHER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CHIEF EXECUTIVE’S INTERESTS AND SHORT POSITIONS IN SHARES, UNDERLYING SHARES AND DEBENTURES OF THE COMPANY OR ANY OF ITS ASSOCIATED CORPORATIONS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interests and short positions of the Directors and chief executive of the Company in the Shares, underlying Shares and debentures of the Company or any of its associated corporations (within the meaning of Part XV of the SFO), which were required (a) to be notified to the Company and the Stock Exchange pursuant to Divisions 7 and 8 of Part XV of the SFO (including interests and short positions which they were taken or deemed to have under such provisions of the SFO); or (b) to be recorded in the register required to be kept by the Company pursuant to Section 352 of the SFO; or (c) to be notified to the Company and the Stock Exchange pursuant to the Model Code were as follows: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 Shares and Underlying Shares of the Company</w:t>
      </w:r>
    </w:p>
    <w:tbl>
      <w:tblPr>
        <w:tblW w:w="10205" w:type="dxa"/>
        <w:jc w:val="left"/>
        <w:tblInd w:w="0" w:type="dxa"/>
        <w:tblLayout w:type="fixed"/>
        <w:tblCellMar>
          <w:top w:w="0" w:type="dxa"/>
          <w:left w:w="0" w:type="dxa"/>
          <w:bottom w:w="0" w:type="dxa"/>
          <w:right w:w="0" w:type="dxa"/>
        </w:tblCellMar>
      </w:tblPr>
      <w:tblGrid>
        <w:gridCol w:w="1193"/>
        <w:gridCol w:w="346"/>
        <w:gridCol w:w="2260"/>
        <w:gridCol w:w="346"/>
        <w:gridCol w:w="1940"/>
        <w:gridCol w:w="346"/>
        <w:gridCol w:w="2075"/>
        <w:gridCol w:w="346"/>
        <w:gridCol w:w="1353"/>
      </w:tblGrid>
      <w:tr>
        <w:trPr/>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57555" cy="175260"/>
                      <wp:effectExtent l="0" t="0" r="0" b="0"/>
                      <wp:wrapNone/>
                      <wp:docPr id="20" name="Frame20"/>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0" cy="175260"/>
                      <wp:effectExtent l="0" t="0" r="0" b="0"/>
                      <wp:wrapNone/>
                      <wp:docPr id="22" name="Frame22"/>
                      <a:graphic xmlns:a="http://schemas.openxmlformats.org/drawingml/2006/main">
                        <a:graphicData uri="http://schemas.microsoft.com/office/word/2010/wordprocessingShape">
                          <wps:wsp>
                            <wps:cNvSpPr txBox="1"/>
                            <wps:spPr>
                              <a:xfrm>
                                <a:off x="0" y="0"/>
                                <a:ext cx="143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31900" cy="175260"/>
                      <wp:effectExtent l="0" t="0" r="0" b="0"/>
                      <wp:wrapNone/>
                      <wp:docPr id="24" name="Frame24"/>
                      <a:graphic xmlns:a="http://schemas.openxmlformats.org/drawingml/2006/main">
                        <a:graphicData uri="http://schemas.microsoft.com/office/word/2010/wordprocessingShape">
                          <wps:wsp>
                            <wps:cNvSpPr txBox="1"/>
                            <wps:spPr>
                              <a:xfrm>
                                <a:off x="0" y="0"/>
                                <a:ext cx="1231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17625" cy="175260"/>
                      <wp:effectExtent l="0" t="0" r="0" b="0"/>
                      <wp:wrapNone/>
                      <wp:docPr id="26" name="Frame26"/>
                      <a:graphic xmlns:a="http://schemas.openxmlformats.org/drawingml/2006/main">
                        <a:graphicData uri="http://schemas.microsoft.com/office/word/2010/wordprocessingShape">
                          <wps:wsp>
                            <wps:cNvSpPr txBox="1"/>
                            <wps:spPr>
                              <a:xfrm>
                                <a:off x="0" y="0"/>
                                <a:ext cx="1317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59155" cy="175260"/>
                      <wp:effectExtent l="0" t="0" r="0" b="0"/>
                      <wp:wrapNone/>
                      <wp:docPr id="28" name="Frame28"/>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9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0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w:t>
            </w:r>
          </w:p>
        </w:tc>
      </w:tr>
      <w:tr>
        <w:trPr/>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w:t>
            </w:r>
          </w:p>
        </w:tc>
      </w:tr>
      <w:tr>
        <w:trPr/>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and class</w:t>
            </w:r>
          </w:p>
        </w:tc>
        <w:tc>
          <w:tcPr>
            <w:tcW w:w="34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interest in each </w:t>
            </w:r>
          </w:p>
        </w:tc>
      </w:tr>
      <w:tr>
        <w:trPr/>
        <w:tc>
          <w:tcPr>
            <w:tcW w:w="11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22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Nature of Interest</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207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pPr>
            <w:r>
              <w:rPr/>
              <w:t> </w:t>
            </w:r>
            <w:r>
              <w:rPr>
                <w:rFonts w:ascii="Times New Roman;Times;serif" w:hAnsi="Times New Roman;Times;serif"/>
                <w:b/>
                <w:sz w:val="16"/>
              </w:rPr>
              <w:t>of Shares</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35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class of Shares</w:t>
            </w:r>
            <w:r>
              <w:rPr>
                <w:rFonts w:ascii="Times New Roman;Times;serif" w:hAnsi="Times New Roman;Times;serif"/>
                <w:b/>
                <w:sz w:val="12"/>
              </w:rPr>
              <w:t>(2)</w:t>
            </w:r>
          </w:p>
        </w:tc>
      </w:tr>
      <w:tr>
        <w:trPr/>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w:t>
            </w:r>
          </w:p>
        </w:tc>
      </w:tr>
      <w:tr>
        <w:trPr/>
        <w:tc>
          <w:tcPr>
            <w:tcW w:w="11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Dr. Han</w:t>
            </w:r>
          </w:p>
        </w:tc>
        <w:tc>
          <w:tcPr>
            <w:tcW w:w="346" w:type="dxa"/>
            <w:tcBorders/>
            <w:shd w:fill="CCEEFF" w:val="clear"/>
            <w:vAlign w:val="center"/>
          </w:tcPr>
          <w:p>
            <w:pPr>
              <w:pStyle w:val="TableContents"/>
              <w:bidi w:val="0"/>
              <w:spacing w:before="0" w:after="0"/>
              <w:ind w:left="0" w:right="0" w:hanging="0"/>
              <w:jc w:val="left"/>
              <w:rPr/>
            </w:pPr>
            <w:r>
              <w:rPr/>
              <w:t>​</w:t>
            </w:r>
          </w:p>
        </w:tc>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Chairman of the Board, executive Director and CEO</w:t>
            </w:r>
          </w:p>
        </w:tc>
        <w:tc>
          <w:tcPr>
            <w:tcW w:w="346" w:type="dxa"/>
            <w:tcBorders/>
            <w:shd w:fill="CCEEFF" w:val="clear"/>
            <w:vAlign w:val="center"/>
          </w:tcPr>
          <w:p>
            <w:pPr>
              <w:pStyle w:val="TableContents"/>
              <w:bidi w:val="0"/>
              <w:spacing w:before="0" w:after="0"/>
              <w:ind w:left="0" w:right="0" w:hanging="0"/>
              <w:jc w:val="left"/>
              <w:rPr/>
            </w:pPr>
            <w:r>
              <w:rPr/>
              <w:t>​</w:t>
            </w:r>
          </w:p>
        </w:tc>
        <w:tc>
          <w:tcPr>
            <w:tcW w:w="19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Beneficial interest</w:t>
            </w:r>
            <w:r>
              <w:rPr>
                <w:rFonts w:ascii="Times New Roman;Times;serif" w:hAnsi="Times New Roman;Times;serif"/>
                <w:sz w:val="12"/>
              </w:rPr>
              <w:t xml:space="preserve">(3) </w:t>
            </w:r>
          </w:p>
        </w:tc>
        <w:tc>
          <w:tcPr>
            <w:tcW w:w="346" w:type="dxa"/>
            <w:tcBorders/>
            <w:shd w:fill="CCEEFF" w:val="clear"/>
            <w:vAlign w:val="center"/>
          </w:tcPr>
          <w:p>
            <w:pPr>
              <w:pStyle w:val="TableContents"/>
              <w:bidi w:val="0"/>
              <w:spacing w:before="0" w:after="0"/>
              <w:ind w:left="0" w:right="0" w:hanging="0"/>
              <w:jc w:val="left"/>
              <w:rPr/>
            </w:pPr>
            <w:r>
              <w:rPr/>
              <w:t>​</w:t>
            </w:r>
          </w:p>
        </w:tc>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27,595,520 Class A Ordinary Shares (L)</w:t>
            </w:r>
          </w:p>
        </w:tc>
        <w:tc>
          <w:tcPr>
            <w:tcW w:w="346" w:type="dxa"/>
            <w:tcBorders/>
            <w:shd w:fill="CCEEFF" w:val="clear"/>
            <w:vAlign w:val="center"/>
          </w:tcPr>
          <w:p>
            <w:pPr>
              <w:pStyle w:val="TableContents"/>
              <w:bidi w:val="0"/>
              <w:spacing w:before="0" w:after="0"/>
              <w:ind w:left="0" w:right="0" w:hanging="0"/>
              <w:jc w:val="left"/>
              <w:rPr/>
            </w:pPr>
            <w:r>
              <w:rPr/>
              <w:t>​</w:t>
            </w:r>
          </w:p>
        </w:tc>
        <w:tc>
          <w:tcPr>
            <w:tcW w:w="13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w:t>
            </w:r>
          </w:p>
        </w:tc>
      </w:tr>
      <w:tr>
        <w:trPr/>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Interest in controlled corporations</w:t>
            </w:r>
            <w:r>
              <w:rPr>
                <w:rFonts w:ascii="Times New Roman;Times;serif" w:hAnsi="Times New Roman;Times;serif"/>
                <w:sz w:val="12"/>
              </w:rPr>
              <w:t>(4)</w:t>
            </w:r>
          </w:p>
        </w:tc>
        <w:tc>
          <w:tcPr>
            <w:tcW w:w="346" w:type="dxa"/>
            <w:tcBorders/>
            <w:vAlign w:val="center"/>
          </w:tcPr>
          <w:p>
            <w:pPr>
              <w:pStyle w:val="TableContents"/>
              <w:bidi w:val="0"/>
              <w:spacing w:before="0" w:after="0"/>
              <w:ind w:left="0" w:right="0" w:hanging="0"/>
              <w:jc w:val="left"/>
              <w:rPr/>
            </w:pPr>
            <w:r>
              <w:rPr/>
              <w:t>​</w:t>
            </w:r>
          </w:p>
        </w:tc>
        <w:tc>
          <w:tcPr>
            <w:tcW w:w="207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41,249,590 Class B Ordinary Shares (L)</w:t>
            </w:r>
          </w:p>
        </w:tc>
        <w:tc>
          <w:tcPr>
            <w:tcW w:w="34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75.25</w:t>
            </w:r>
          </w:p>
        </w:tc>
      </w:tr>
      <w:tr>
        <w:trPr/>
        <w:tc>
          <w:tcPr>
            <w:tcW w:w="11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Dr. Li</w:t>
            </w:r>
          </w:p>
        </w:tc>
        <w:tc>
          <w:tcPr>
            <w:tcW w:w="346" w:type="dxa"/>
            <w:tcBorders/>
            <w:shd w:fill="CCEEFF" w:val="clear"/>
            <w:vAlign w:val="center"/>
          </w:tcPr>
          <w:p>
            <w:pPr>
              <w:pStyle w:val="TableContents"/>
              <w:bidi w:val="0"/>
              <w:spacing w:before="0" w:after="0"/>
              <w:ind w:left="0" w:right="0" w:hanging="0"/>
              <w:jc w:val="left"/>
              <w:rPr/>
            </w:pPr>
            <w:r>
              <w:rPr/>
              <w:t>​</w:t>
            </w:r>
          </w:p>
        </w:tc>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Executive Director</w:t>
            </w:r>
          </w:p>
        </w:tc>
        <w:tc>
          <w:tcPr>
            <w:tcW w:w="346" w:type="dxa"/>
            <w:tcBorders/>
            <w:shd w:fill="CCEEFF" w:val="clear"/>
            <w:vAlign w:val="center"/>
          </w:tcPr>
          <w:p>
            <w:pPr>
              <w:pStyle w:val="TableContents"/>
              <w:bidi w:val="0"/>
              <w:spacing w:before="0" w:after="0"/>
              <w:ind w:left="0" w:right="0" w:hanging="0"/>
              <w:jc w:val="left"/>
              <w:rPr/>
            </w:pPr>
            <w:r>
              <w:rPr/>
              <w:t>​</w:t>
            </w:r>
          </w:p>
        </w:tc>
        <w:tc>
          <w:tcPr>
            <w:tcW w:w="19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Beneficial interest</w:t>
            </w:r>
            <w:r>
              <w:rPr>
                <w:rFonts w:ascii="Times New Roman;Times;serif" w:hAnsi="Times New Roman;Times;serif"/>
                <w:sz w:val="12"/>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10,513,974 Class A Ordinary Shares (L)</w:t>
            </w:r>
          </w:p>
        </w:tc>
        <w:tc>
          <w:tcPr>
            <w:tcW w:w="346" w:type="dxa"/>
            <w:tcBorders/>
            <w:shd w:fill="CCEEFF" w:val="clear"/>
            <w:vAlign w:val="center"/>
          </w:tcPr>
          <w:p>
            <w:pPr>
              <w:pStyle w:val="TableContents"/>
              <w:bidi w:val="0"/>
              <w:spacing w:before="0" w:after="0"/>
              <w:ind w:left="0" w:right="0" w:hanging="0"/>
              <w:jc w:val="left"/>
              <w:rPr/>
            </w:pPr>
            <w:r>
              <w:rPr/>
              <w:t>​</w:t>
            </w:r>
          </w:p>
        </w:tc>
        <w:tc>
          <w:tcPr>
            <w:tcW w:w="13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11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Interest in controlled corporations</w:t>
            </w:r>
            <w:r>
              <w:rPr>
                <w:rFonts w:ascii="Times New Roman;Times;serif" w:hAnsi="Times New Roman;Times;serif"/>
                <w:sz w:val="12"/>
              </w:rPr>
              <w:t>(6)</w:t>
            </w:r>
          </w:p>
        </w:tc>
        <w:tc>
          <w:tcPr>
            <w:tcW w:w="346"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27,129,666 Class A Ordinary Shares (L) </w:t>
            </w:r>
          </w:p>
        </w:tc>
        <w:tc>
          <w:tcPr>
            <w:tcW w:w="34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11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13,564,833 Class B Ordinary Shares (L)</w:t>
            </w:r>
          </w:p>
        </w:tc>
        <w:tc>
          <w:tcPr>
            <w:tcW w:w="346" w:type="dxa"/>
            <w:tcBorders/>
            <w:shd w:fill="CCEEFF" w:val="clear"/>
            <w:vAlign w:val="center"/>
          </w:tcPr>
          <w:p>
            <w:pPr>
              <w:pStyle w:val="TableContents"/>
              <w:bidi w:val="0"/>
              <w:spacing w:before="0" w:after="0"/>
              <w:ind w:left="0" w:right="0" w:hanging="0"/>
              <w:jc w:val="left"/>
              <w:rPr/>
            </w:pPr>
            <w:r>
              <w:rPr/>
              <w:t>​</w:t>
            </w:r>
          </w:p>
        </w:tc>
        <w:tc>
          <w:tcPr>
            <w:tcW w:w="13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24.75</w:t>
            </w:r>
          </w:p>
        </w:tc>
      </w:tr>
      <w:tr>
        <w:trPr/>
        <w:tc>
          <w:tcPr>
            <w:tcW w:w="11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Ms. Huiping Yan</w:t>
            </w:r>
          </w:p>
        </w:tc>
        <w:tc>
          <w:tcPr>
            <w:tcW w:w="346" w:type="dxa"/>
            <w:tcBorders/>
            <w:vAlign w:val="center"/>
          </w:tcPr>
          <w:p>
            <w:pPr>
              <w:pStyle w:val="TableContents"/>
              <w:bidi w:val="0"/>
              <w:spacing w:before="0" w:after="0"/>
              <w:ind w:left="0" w:right="0" w:hanging="0"/>
              <w:jc w:val="left"/>
              <w:rPr/>
            </w:pPr>
            <w:r>
              <w:rPr/>
              <w:t> </w:t>
            </w:r>
          </w:p>
        </w:tc>
        <w:tc>
          <w:tcPr>
            <w:tcW w:w="22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Independent non-executive Director</w:t>
            </w:r>
          </w:p>
        </w:tc>
        <w:tc>
          <w:tcPr>
            <w:tcW w:w="346"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Beneficial interest</w:t>
            </w:r>
            <w:r>
              <w:rPr>
                <w:rFonts w:ascii="Times New Roman;Times;serif" w:hAnsi="Times New Roman;Times;serif"/>
                <w:sz w:val="12"/>
              </w:rPr>
              <w:t>(7)</w:t>
            </w:r>
          </w:p>
        </w:tc>
        <w:tc>
          <w:tcPr>
            <w:tcW w:w="346"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93,189 Class A Ordinary Shares (L)</w:t>
            </w:r>
          </w:p>
        </w:tc>
        <w:tc>
          <w:tcPr>
            <w:tcW w:w="34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1193" w:type="dxa"/>
            <w:tcBorders/>
            <w:shd w:fill="CCEEFF" w:val="clear"/>
            <w:vAlign w:val="center"/>
          </w:tcPr>
          <w:p>
            <w:pPr>
              <w:pStyle w:val="TableContents"/>
              <w:bidi w:val="0"/>
              <w:spacing w:before="0" w:after="0"/>
              <w:ind w:left="0" w:right="0" w:hanging="0"/>
              <w:jc w:val="left"/>
              <w:rPr/>
            </w:pPr>
            <w:r>
              <w:rPr>
                <w:rFonts w:ascii="Times New Roman;Times;serif" w:hAnsi="Times New Roman;Times;serif"/>
                <w:sz w:val="16"/>
              </w:rPr>
              <w:t>Mr. David Zhang (</w:t>
            </w:r>
            <w:r>
              <w:rPr>
                <w:rFonts w:eastAsia="Times New Roman;Times;serif"/>
                <w:sz w:val="16"/>
              </w:rPr>
              <w:t>張彤</w:t>
            </w: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Independent non-executive Director</w:t>
            </w:r>
          </w:p>
        </w:tc>
        <w:tc>
          <w:tcPr>
            <w:tcW w:w="346" w:type="dxa"/>
            <w:tcBorders/>
            <w:shd w:fill="CCEEFF" w:val="clear"/>
            <w:vAlign w:val="center"/>
          </w:tcPr>
          <w:p>
            <w:pPr>
              <w:pStyle w:val="TableContents"/>
              <w:bidi w:val="0"/>
              <w:spacing w:before="0" w:after="0"/>
              <w:ind w:left="0" w:right="0" w:hanging="0"/>
              <w:jc w:val="left"/>
              <w:rPr/>
            </w:pPr>
            <w:r>
              <w:rPr/>
              <w:t> </w:t>
            </w:r>
          </w:p>
        </w:tc>
        <w:tc>
          <w:tcPr>
            <w:tcW w:w="19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Beneficial interest</w:t>
            </w:r>
            <w:r>
              <w:rPr>
                <w:rFonts w:ascii="Times New Roman;Times;serif" w:hAnsi="Times New Roman;Times;serif"/>
                <w:sz w:val="12"/>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81,966 Class A Ordinary Shares (L)</w:t>
            </w:r>
          </w:p>
        </w:tc>
        <w:tc>
          <w:tcPr>
            <w:tcW w:w="346" w:type="dxa"/>
            <w:tcBorders/>
            <w:shd w:fill="CCEEFF" w:val="clear"/>
            <w:vAlign w:val="center"/>
          </w:tcPr>
          <w:p>
            <w:pPr>
              <w:pStyle w:val="TableContents"/>
              <w:bidi w:val="0"/>
              <w:spacing w:before="0" w:after="0"/>
              <w:ind w:left="0" w:right="0" w:hanging="0"/>
              <w:jc w:val="left"/>
              <w:rPr/>
            </w:pPr>
            <w:r>
              <w:rPr/>
              <w:t> </w:t>
            </w:r>
          </w:p>
        </w:tc>
        <w:tc>
          <w:tcPr>
            <w:tcW w:w="1353"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0.01</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w:t>
      </w:r>
    </w:p>
    <w:tbl>
      <w:tblPr>
        <w:tblW w:w="5582" w:type="dxa"/>
        <w:jc w:val="left"/>
        <w:tblInd w:w="0" w:type="dxa"/>
        <w:tblLayout w:type="fixed"/>
        <w:tblCellMar>
          <w:top w:w="0" w:type="dxa"/>
          <w:left w:w="0" w:type="dxa"/>
          <w:bottom w:w="0" w:type="dxa"/>
          <w:right w:w="0" w:type="dxa"/>
        </w:tblCellMar>
      </w:tblPr>
      <w:tblGrid>
        <w:gridCol w:w="346"/>
        <w:gridCol w:w="523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523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letter “L” denotes the person’s long position in the Shares.</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calculation is based on the total number of 972,508,041 Class A Ordinary Shares and 54,814,423 Class B Ordinary Shares in issue as of June 30, 2026.</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Dr. Han is entitled to receive 27,595,520 Class A Ordinary Shares pursuant to the share options granted to him under the 2018 Share Plan, subject to the relevant conditions (including vesting conditions) thereunder. For more details, please refer to the section headed “Other Information – Share Incentive Schemes” in this interim report.</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XHL is owned as to 80% by Dr. Han. THL is owned as to 51% by XHL and as to 49% by Trident. Trident is the trustee of the Han Family Trust where Dr. Han is the protector and his descendants are the beneficiaries. As such, Dr. Han is deemed to be interested in the Class B Ordinary Shares held by XHL and THL under the SFO.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Dr. Li is entitled to receive 10,513,974 Class A Ordinary Shares pursuant to the share options granted to him under the 2018 Share Plan, subject to the relevant conditions (including vesting conditions) thereunder. For more details, please refer to the section headed “Other Information – Share Incentive Schemes” in this interim report.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Humber Partners is owned as to 80% by Dr. Li. Yanli is owned as to 51% by Humber Partners and as to 49% by Trident. Trident is the trustee of the Li Family Trust where Dr. Li is the protector and his descendants are the beneficiaries. As such, Dr. Li is deemed to be interested in the Class A Ordinary Shares and the Class B Ordinary Shares held by Humber Partners and Yanli under the SFO.</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(7)</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Huiping Yan is entitled to receive 93,189 Class A Ordinary Shares pursuant to the share awards granted to her under the 2018 Share Plan. For more details, please refer to the section headed “Other Information – Share Incentive Schemes” in this interim report.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(8)</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Mr. David Zhang (</w:t>
            </w:r>
            <w:r>
              <w:rPr>
                <w:rFonts w:eastAsia="MHeiHK-Light"/>
                <w:b w:val="false"/>
                <w:i w:val="false"/>
                <w:caps w:val="false"/>
                <w:smallCaps w:val="false"/>
                <w:color w:val="231F20"/>
                <w:sz w:val="20"/>
              </w:rPr>
              <w:t>張彤</w:t>
            </w:r>
            <w:r>
              <w:rPr>
                <w:rFonts w:ascii="Times New Roman;Times;serif" w:hAnsi="Times New Roman;Times;serif"/>
                <w:b w:val="false"/>
                <w:i w:val="false"/>
                <w:caps w:val="false"/>
                <w:smallCaps w:val="false"/>
                <w:color w:val="231F20"/>
                <w:sz w:val="20"/>
              </w:rPr>
              <w:t>) is entitled to receive 81,966 Class A Ordinary Shares pursuant to the share options granted to him under the 2018 Share Plan. For more details, please refer to the section headed “Other Information – Share Incentive Schemes” in this interim report.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as disclosed above, as of June 30, 2026, so far as is known to any Director or chief executive of the Company, none of the Directors or chief executive of the Company had any interests or short positions in the Shares, underlying Shares or debentures of the Company or any of its associated corporations (within the meaning of Part XV of the SFO) which were (a) required to be notified to the Company and the Stock Exchange pursuant to Divisions 7 and 8 of Part XV of the SFO (including interests and short positions which he/she was taken or deemed to have under such provisions of the SFO); (b) required, pursuant to Section 352 of the SFO, to be entered in the register referred to therein; or (c) required, pursuant to the Model Code, to be notified to the Company and the Stock Exchange.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SUBSTANTIAL SHAREHOLDERS’ INTERESTS AND SHORT POSITIONS IN SHARES AND UNDERLYING SHARES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to the best knowledge of the Directors, the following persons (other than the Directors and chief executive of the Company), had an interest or short position in the Shares or underlying Shares of the Company which would fall to be disclosed to the Company pursuant to Divisions 2 and 3 of Part XV of the SFO, or which would be recorded in the register required to be kept by the Company pursuant to Section 336 of the SFO:</w:t>
      </w:r>
    </w:p>
    <w:tbl>
      <w:tblPr>
        <w:tblW w:w="10205" w:type="dxa"/>
        <w:jc w:val="left"/>
        <w:tblInd w:w="0" w:type="dxa"/>
        <w:tblLayout w:type="fixed"/>
        <w:tblCellMar>
          <w:top w:w="0" w:type="dxa"/>
          <w:left w:w="0" w:type="dxa"/>
          <w:bottom w:w="0" w:type="dxa"/>
          <w:right w:w="0" w:type="dxa"/>
        </w:tblCellMar>
      </w:tblPr>
      <w:tblGrid>
        <w:gridCol w:w="5598"/>
        <w:gridCol w:w="346"/>
        <w:gridCol w:w="1564"/>
        <w:gridCol w:w="346"/>
        <w:gridCol w:w="963"/>
        <w:gridCol w:w="346"/>
        <w:gridCol w:w="1042"/>
      </w:tblGrid>
      <w:tr>
        <w:trPr/>
        <w:tc>
          <w:tcPr>
            <w:tcW w:w="5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554730" cy="175260"/>
                      <wp:effectExtent l="0" t="0" r="0" b="0"/>
                      <wp:wrapNone/>
                      <wp:docPr id="29" name="Frame29"/>
                      <a:graphic xmlns:a="http://schemas.openxmlformats.org/drawingml/2006/main">
                        <a:graphicData uri="http://schemas.microsoft.com/office/word/2010/wordprocessingShape">
                          <wps:wsp>
                            <wps:cNvSpPr txBox="1"/>
                            <wps:spPr>
                              <a:xfrm>
                                <a:off x="0" y="0"/>
                                <a:ext cx="3554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93140" cy="175260"/>
                      <wp:effectExtent l="0" t="0" r="0" b="0"/>
                      <wp:wrapNone/>
                      <wp:docPr id="31" name="Frame31"/>
                      <a:graphic xmlns:a="http://schemas.openxmlformats.org/drawingml/2006/main">
                        <a:graphicData uri="http://schemas.microsoft.com/office/word/2010/wordprocessingShape">
                          <wps:wsp>
                            <wps:cNvSpPr txBox="1"/>
                            <wps:spPr>
                              <a:xfrm>
                                <a:off x="0" y="0"/>
                                <a:ext cx="993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11505" cy="175260"/>
                      <wp:effectExtent l="0" t="0" r="0" b="0"/>
                      <wp:wrapNone/>
                      <wp:docPr id="33" name="Frame33"/>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1670" cy="175260"/>
                      <wp:effectExtent l="0" t="0" r="0" b="0"/>
                      <wp:wrapNone/>
                      <wp:docPr id="35" name="Frame3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64"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63"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4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Approximate</w:t>
            </w:r>
          </w:p>
        </w:tc>
      </w:tr>
      <w:tr>
        <w:trPr/>
        <w:tc>
          <w:tcPr>
            <w:tcW w:w="5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63"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4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percentage of</w:t>
            </w:r>
          </w:p>
        </w:tc>
      </w:tr>
      <w:tr>
        <w:trPr/>
        <w:tc>
          <w:tcPr>
            <w:tcW w:w="5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63"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4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shareholding in</w:t>
            </w:r>
          </w:p>
        </w:tc>
      </w:tr>
      <w:tr>
        <w:trPr/>
        <w:tc>
          <w:tcPr>
            <w:tcW w:w="5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4"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 xml:space="preserve">Nature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63"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Number of</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4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each class of</w:t>
            </w:r>
          </w:p>
        </w:tc>
      </w:tr>
      <w:tr>
        <w:trPr/>
        <w:tc>
          <w:tcPr>
            <w:tcW w:w="559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Shareholder</w:t>
            </w:r>
          </w:p>
        </w:tc>
        <w:tc>
          <w:tcPr>
            <w:tcW w:w="346" w:type="dxa"/>
            <w:tcBorders/>
            <w:vAlign w:val="center"/>
          </w:tcPr>
          <w:p>
            <w:pPr>
              <w:pStyle w:val="TableContents"/>
              <w:bidi w:val="0"/>
              <w:spacing w:before="0" w:after="0"/>
              <w:ind w:left="0" w:right="0" w:hanging="0"/>
              <w:jc w:val="left"/>
              <w:rPr/>
            </w:pPr>
            <w:r>
              <w:rPr/>
              <w:t>  ​ ​</w:t>
            </w:r>
          </w:p>
        </w:tc>
        <w:tc>
          <w:tcPr>
            <w:tcW w:w="1564"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of Interest</w:t>
            </w:r>
          </w:p>
        </w:tc>
        <w:tc>
          <w:tcPr>
            <w:tcW w:w="346" w:type="dxa"/>
            <w:tcBorders/>
            <w:vAlign w:val="center"/>
          </w:tcPr>
          <w:p>
            <w:pPr>
              <w:pStyle w:val="TableContents"/>
              <w:bidi w:val="0"/>
              <w:spacing w:before="0" w:after="0"/>
              <w:ind w:left="0" w:right="0" w:hanging="0"/>
              <w:jc w:val="left"/>
              <w:rPr/>
            </w:pPr>
            <w:r>
              <w:rPr/>
              <w:t>  ​ ​</w:t>
            </w:r>
          </w:p>
        </w:tc>
        <w:tc>
          <w:tcPr>
            <w:tcW w:w="963" w:type="dxa"/>
            <w:tcBorders>
              <w:bottom w:val="single" w:sz="2" w:space="0" w:color="231F2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color w:val="231F20"/>
                <w:sz w:val="14"/>
              </w:rPr>
              <w:t>Shares</w:t>
            </w:r>
            <w:r>
              <w:rPr>
                <w:rFonts w:ascii="Times New Roman;Times;serif" w:hAnsi="Times New Roman;Times;serif"/>
                <w:b/>
                <w:color w:val="231F20"/>
                <w:sz w:val="11"/>
              </w:rPr>
              <w:t>(1)</w:t>
            </w:r>
          </w:p>
        </w:tc>
        <w:tc>
          <w:tcPr>
            <w:tcW w:w="346" w:type="dxa"/>
            <w:tcBorders/>
            <w:vAlign w:val="center"/>
          </w:tcPr>
          <w:p>
            <w:pPr>
              <w:pStyle w:val="TableContents"/>
              <w:bidi w:val="0"/>
              <w:spacing w:before="0" w:after="0"/>
              <w:ind w:left="0" w:right="0" w:hanging="0"/>
              <w:jc w:val="left"/>
              <w:rPr/>
            </w:pPr>
            <w:r>
              <w:rPr/>
              <w:t>  ​ ​</w:t>
            </w:r>
          </w:p>
        </w:tc>
        <w:tc>
          <w:tcPr>
            <w:tcW w:w="1042" w:type="dxa"/>
            <w:tcBorders>
              <w:bottom w:val="single" w:sz="2" w:space="0" w:color="231F2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color w:val="231F20"/>
                <w:sz w:val="14"/>
              </w:rPr>
              <w:t>Shares</w:t>
            </w:r>
            <w:r>
              <w:rPr>
                <w:rFonts w:ascii="Times New Roman;Times;serif" w:hAnsi="Times New Roman;Times;serif"/>
                <w:b/>
                <w:color w:val="231F20"/>
                <w:sz w:val="11"/>
              </w:rPr>
              <w:t>(2)</w:t>
            </w:r>
          </w:p>
        </w:tc>
      </w:tr>
      <w:tr>
        <w:trPr/>
        <w:tc>
          <w:tcPr>
            <w:tcW w:w="5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i/>
                <w:color w:val="231F20"/>
                <w:sz w:val="14"/>
              </w:rPr>
            </w:pPr>
            <w:r>
              <w:rPr>
                <w:rFonts w:ascii="Times New Roman;Times;serif" w:hAnsi="Times New Roman;Times;serif"/>
                <w:i/>
                <w:color w:val="231F20"/>
                <w:sz w:val="14"/>
              </w:rPr>
              <w:t>(%)</w:t>
            </w:r>
          </w:p>
        </w:tc>
      </w:tr>
      <w:tr>
        <w:trPr/>
        <w:tc>
          <w:tcPr>
            <w:tcW w:w="5598" w:type="dxa"/>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Class A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15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left"/>
              <w:rPr/>
            </w:pPr>
            <w:r>
              <w:rPr/>
              <w:t>​</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Deutsche Bank Aktiengesellschaft (“</w:t>
            </w:r>
            <w:r>
              <w:rPr>
                <w:rFonts w:ascii="Times New Roman;Times;serif" w:hAnsi="Times New Roman;Times;serif"/>
                <w:b/>
                <w:color w:val="231F20"/>
                <w:sz w:val="14"/>
              </w:rPr>
              <w:t>Deutsche Bank</w:t>
            </w:r>
            <w:r>
              <w:rPr>
                <w:rFonts w:ascii="Times New Roman;Times;serif" w:hAnsi="Times New Roman;Times;serif"/>
                <w:color w:val="231F20"/>
                <w:sz w:val="14"/>
              </w:rPr>
              <w:t>”)</w:t>
            </w:r>
            <w:r>
              <w:rPr>
                <w:rFonts w:ascii="Times New Roman;Times;serif" w:hAnsi="Times New Roman;Times;serif"/>
                <w:color w:val="231F20"/>
                <w:sz w:val="11"/>
              </w:rPr>
              <w:t>(3)</w:t>
            </w:r>
          </w:p>
        </w:tc>
        <w:tc>
          <w:tcPr>
            <w:tcW w:w="346" w:type="dxa"/>
            <w:tcBorders/>
            <w:vAlign w:val="center"/>
          </w:tcPr>
          <w:p>
            <w:pPr>
              <w:pStyle w:val="TableContents"/>
              <w:bidi w:val="0"/>
              <w:spacing w:before="0" w:after="0"/>
              <w:ind w:left="0" w:right="0" w:hanging="0"/>
              <w:jc w:val="left"/>
              <w:rPr/>
            </w:pPr>
            <w:r>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Depositary</w:t>
            </w:r>
          </w:p>
        </w:tc>
        <w:tc>
          <w:tcPr>
            <w:tcW w:w="3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690,161,727 (L)</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70.97</w:t>
            </w:r>
          </w:p>
        </w:tc>
      </w:tr>
      <w:tr>
        <w:trPr/>
        <w:tc>
          <w:tcPr>
            <w:tcW w:w="55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690,161,727 (S)</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70.97</w:t>
            </w:r>
          </w:p>
        </w:tc>
      </w:tr>
      <w:tr>
        <w:trPr/>
        <w:tc>
          <w:tcPr>
            <w:tcW w:w="5598" w:type="dxa"/>
            <w:tcBorders/>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Mr. Yuxiang Tang (</w:t>
            </w:r>
            <w:r>
              <w:rPr>
                <w:rFonts w:eastAsia="MHeiHK-Light"/>
                <w:color w:val="231F20"/>
                <w:sz w:val="14"/>
              </w:rPr>
              <w:t>湯玉祥</w:t>
            </w:r>
            <w:r>
              <w:rPr>
                <w:rFonts w:ascii="Times New Roman;Times;serif" w:hAnsi="Times New Roman;Times;serif"/>
                <w:color w:val="231F20"/>
                <w:sz w:val="14"/>
              </w:rPr>
              <w:t>) (“</w:t>
            </w:r>
            <w:r>
              <w:rPr>
                <w:rFonts w:ascii="Times New Roman;Times;serif" w:hAnsi="Times New Roman;Times;serif"/>
                <w:b/>
                <w:color w:val="231F20"/>
                <w:sz w:val="14"/>
              </w:rPr>
              <w:t>Mr. Tang</w:t>
            </w:r>
            <w:r>
              <w:rPr>
                <w:rFonts w:ascii="Times New Roman;Times;serif" w:hAnsi="Times New Roman;Times;serif"/>
                <w:color w:val="231F20"/>
                <w:sz w:val="14"/>
              </w:rPr>
              <w:t>”)</w:t>
            </w:r>
            <w:r>
              <w:rPr>
                <w:rFonts w:ascii="Times New Roman;Times;serif" w:hAnsi="Times New Roman;Times;serif"/>
                <w:color w:val="231F20"/>
                <w:sz w:val="11"/>
              </w:rPr>
              <w:t>(4)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65,659,592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6.75</w:t>
            </w:r>
          </w:p>
        </w:tc>
      </w:tr>
      <w:tr>
        <w:trPr/>
        <w:tc>
          <w:tcPr>
            <w:tcW w:w="5598" w:type="dxa"/>
            <w:tcBorders/>
            <w:shd w:fill="CCEEFF" w:val="clear"/>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Zhengzhou Tongtai Hezhi Management Consulting Co., Ltd. (</w:t>
            </w:r>
            <w:r>
              <w:rPr>
                <w:rFonts w:eastAsia="Times New Roman;Times;serif"/>
                <w:color w:val="231F20"/>
                <w:sz w:val="14"/>
              </w:rPr>
              <w:t>鄭州通泰合智管理諮詢有限公司</w:t>
            </w:r>
            <w:r>
              <w:rPr>
                <w:rFonts w:ascii="Times New Roman;Times;serif" w:hAnsi="Times New Roman;Times;serif"/>
                <w:color w:val="231F20"/>
                <w:sz w:val="14"/>
              </w:rPr>
              <w:t>) (“</w:t>
            </w:r>
            <w:r>
              <w:rPr>
                <w:rFonts w:ascii="Times New Roman;Times;serif" w:hAnsi="Times New Roman;Times;serif"/>
                <w:b/>
                <w:color w:val="231F20"/>
                <w:sz w:val="14"/>
              </w:rPr>
              <w:t>Tongtai Hezhi</w:t>
            </w:r>
            <w:r>
              <w:rPr>
                <w:rFonts w:ascii="Times New Roman;Times;serif" w:hAnsi="Times New Roman;Times;serif"/>
                <w:color w:val="231F20"/>
                <w:sz w:val="14"/>
              </w:rPr>
              <w:t>”)</w:t>
            </w:r>
            <w:r>
              <w:rPr>
                <w:rFonts w:ascii="Times New Roman;Times;serif" w:hAnsi="Times New Roman;Times;serif"/>
                <w:color w:val="231F20"/>
                <w:sz w:val="11"/>
              </w:rPr>
              <w:t>(4)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65,659,592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6.75</w:t>
            </w:r>
          </w:p>
        </w:tc>
      </w:tr>
      <w:tr>
        <w:trPr/>
        <w:tc>
          <w:tcPr>
            <w:tcW w:w="5598" w:type="dxa"/>
            <w:tcBorders/>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Zhengzhou Tongtai Zhihe Enterprise Management Center (Limited Partnership) (</w:t>
            </w:r>
            <w:r>
              <w:rPr>
                <w:rFonts w:eastAsia="Times New Roman;Times;serif"/>
                <w:color w:val="231F20"/>
                <w:sz w:val="14"/>
              </w:rPr>
              <w:t>鄭州通泰志合企業管理中心</w:t>
            </w:r>
            <w:r>
              <w:rPr>
                <w:rFonts w:ascii="Times New Roman;Times;serif" w:hAnsi="Times New Roman;Times;serif"/>
                <w:color w:val="231F20"/>
                <w:sz w:val="14"/>
              </w:rPr>
              <w:t>(</w:t>
            </w:r>
            <w:r>
              <w:rPr>
                <w:rFonts w:eastAsia="Times New Roman;Times;serif"/>
                <w:color w:val="231F20"/>
                <w:sz w:val="14"/>
              </w:rPr>
              <w:t>有限合夥</w:t>
            </w:r>
            <w:r>
              <w:rPr>
                <w:rFonts w:ascii="Times New Roman;Times;serif" w:hAnsi="Times New Roman;Times;serif"/>
                <w:color w:val="231F20"/>
                <w:sz w:val="14"/>
              </w:rPr>
              <w:t>)) (“Tongtai Zhihe”)</w:t>
            </w:r>
            <w:r>
              <w:rPr>
                <w:rFonts w:ascii="Times New Roman;Times;serif" w:hAnsi="Times New Roman;Times;serif"/>
                <w:color w:val="231F20"/>
                <w:sz w:val="11"/>
              </w:rPr>
              <w:t>(4)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65,659,592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6.75</w:t>
            </w:r>
          </w:p>
        </w:tc>
      </w:tr>
      <w:tr>
        <w:trPr/>
        <w:tc>
          <w:tcPr>
            <w:tcW w:w="5598" w:type="dxa"/>
            <w:tcBorders/>
            <w:shd w:fill="CCEEFF" w:val="clear"/>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Zhengzhou Yutong Group Co., Ltd. (</w:t>
            </w:r>
            <w:r>
              <w:rPr>
                <w:rFonts w:eastAsia="Times New Roman;Times;serif"/>
                <w:color w:val="231F20"/>
                <w:sz w:val="14"/>
              </w:rPr>
              <w:t>鄭州宇通集團有限公司</w:t>
            </w:r>
            <w:r>
              <w:rPr>
                <w:rFonts w:ascii="Times New Roman;Times;serif" w:hAnsi="Times New Roman;Times;serif"/>
                <w:color w:val="231F20"/>
                <w:sz w:val="14"/>
              </w:rPr>
              <w:t>) (“Zhengzhou Yutong”)</w:t>
            </w:r>
            <w:r>
              <w:rPr>
                <w:rFonts w:ascii="Times New Roman;Times;serif" w:hAnsi="Times New Roman;Times;serif"/>
                <w:color w:val="231F20"/>
                <w:sz w:val="11"/>
              </w:rPr>
              <w:t xml:space="preserve">(4)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65,659,592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6.75</w:t>
            </w:r>
          </w:p>
        </w:tc>
      </w:tr>
      <w:tr>
        <w:trPr/>
        <w:tc>
          <w:tcPr>
            <w:tcW w:w="5598" w:type="dxa"/>
            <w:tcBorders/>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Zhengzhou Xuxin Enterprise Management Consulting Co., Ltd.(</w:t>
            </w:r>
            <w:r>
              <w:rPr>
                <w:rFonts w:eastAsia="Times New Roman;Times;serif"/>
                <w:color w:val="231F20"/>
                <w:sz w:val="14"/>
              </w:rPr>
              <w:t>鄭州旭新企業管理諮詢有限公司</w:t>
            </w:r>
            <w:r>
              <w:rPr>
                <w:rFonts w:ascii="Times New Roman;Times;serif" w:hAnsi="Times New Roman;Times;serif"/>
                <w:color w:val="231F20"/>
                <w:sz w:val="14"/>
              </w:rPr>
              <w:t>) (“Zhengzhou Xuxin”)</w:t>
            </w:r>
            <w:r>
              <w:rPr>
                <w:rFonts w:ascii="Times New Roman;Times;serif" w:hAnsi="Times New Roman;Times;serif"/>
                <w:color w:val="231F20"/>
                <w:sz w:val="11"/>
              </w:rPr>
              <w:t>(4)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65,659,592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6.75</w:t>
            </w:r>
          </w:p>
        </w:tc>
      </w:tr>
      <w:tr>
        <w:trPr/>
        <w:tc>
          <w:tcPr>
            <w:tcW w:w="5598"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 xml:space="preserve">Zhengzhou Xufeng Jiayuan Intelligent Connected Enterprise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25,868,845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2.66</w:t>
            </w:r>
          </w:p>
        </w:tc>
      </w:tr>
      <w:tr>
        <w:trPr/>
        <w:tc>
          <w:tcPr>
            <w:tcW w:w="5598" w:type="dxa"/>
            <w:tcBorders/>
            <w:vAlign w:val="center"/>
          </w:tcPr>
          <w:p>
            <w:pPr>
              <w:pStyle w:val="TableContents"/>
              <w:pBdr/>
              <w:bidi w:val="0"/>
              <w:spacing w:lineRule="auto" w:line="240" w:before="0" w:after="0"/>
              <w:ind w:left="0" w:right="0" w:hanging="0"/>
              <w:jc w:val="left"/>
              <w:rPr/>
            </w:pPr>
            <w:r>
              <w:rPr>
                <w:rFonts w:ascii="Times New Roman;Times;serif" w:hAnsi="Times New Roman;Times;serif"/>
                <w:color w:val="231F20"/>
                <w:sz w:val="14"/>
              </w:rPr>
              <w:t>Management Center (Limited Partnership) (</w:t>
            </w:r>
            <w:r>
              <w:rPr>
                <w:rFonts w:eastAsia="Times New Roman;Times;serif"/>
                <w:color w:val="231F20"/>
                <w:sz w:val="14"/>
              </w:rPr>
              <w:t>鄭州旭豐嘉遠智能網聯企業管理中心</w:t>
            </w:r>
            <w:r>
              <w:rPr>
                <w:rFonts w:ascii="Times New Roman;Times;serif" w:hAnsi="Times New Roman;Times;serif"/>
                <w:color w:val="231F20"/>
                <w:sz w:val="14"/>
              </w:rPr>
              <w:t>(</w:t>
            </w:r>
            <w:r>
              <w:rPr>
                <w:rFonts w:eastAsia="Times New Roman;Times;serif"/>
                <w:color w:val="231F20"/>
                <w:sz w:val="14"/>
              </w:rPr>
              <w:t>有限合夥</w:t>
            </w:r>
            <w:r>
              <w:rPr>
                <w:rFonts w:ascii="Times New Roman;Times;serif" w:hAnsi="Times New Roman;Times;serif"/>
                <w:color w:val="231F20"/>
                <w:sz w:val="14"/>
              </w:rPr>
              <w:t xml:space="preserve">)) </w:t>
            </w:r>
            <w:r>
              <w:rPr>
                <w:rFonts w:ascii="Times New Roman;Times;serif" w:hAnsi="Times New Roman;Times;serif"/>
                <w:b/>
                <w:color w:val="231F20"/>
                <w:sz w:val="14"/>
              </w:rPr>
              <w:t>(“Zhengzhou Xufeng”)</w:t>
            </w:r>
            <w:r>
              <w:rPr>
                <w:rFonts w:ascii="Times New Roman;Times;serif" w:hAnsi="Times New Roman;Times;serif"/>
                <w:color w:val="231F20"/>
                <w:sz w:val="11"/>
              </w:rPr>
              <w:t xml:space="preserve">(4)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39,790,747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4.09</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Renault S.A. (“</w:t>
            </w:r>
            <w:r>
              <w:rPr>
                <w:rFonts w:ascii="Times New Roman;Times;serif" w:hAnsi="Times New Roman;Times;serif"/>
                <w:b/>
                <w:color w:val="231F20"/>
                <w:sz w:val="14"/>
              </w:rPr>
              <w:t>Renault</w:t>
            </w:r>
            <w:r>
              <w:rPr>
                <w:rFonts w:ascii="Times New Roman;Times;serif" w:hAnsi="Times New Roman;Times;serif"/>
                <w:color w:val="231F20"/>
                <w:sz w:val="14"/>
              </w:rPr>
              <w:t>”)</w:t>
            </w:r>
            <w:r>
              <w:rPr>
                <w:rFonts w:ascii="Times New Roman;Times;serif" w:hAnsi="Times New Roman;Times;serif"/>
                <w:color w:val="231F20"/>
                <w:sz w:val="11"/>
              </w:rPr>
              <w:t>(5)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63,680,080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6.55</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Renault s.a.s.</w:t>
            </w:r>
            <w:r>
              <w:rPr>
                <w:rFonts w:ascii="Times New Roman;Times;serif" w:hAnsi="Times New Roman;Times;serif"/>
                <w:color w:val="231F20"/>
                <w:sz w:val="11"/>
              </w:rPr>
              <w:t>(5)</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63,680,080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6.55</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Nissan Motor Co., Ltd. (“</w:t>
            </w:r>
            <w:r>
              <w:rPr>
                <w:rFonts w:ascii="Times New Roman;Times;serif" w:hAnsi="Times New Roman;Times;serif"/>
                <w:b/>
                <w:color w:val="231F20"/>
                <w:sz w:val="14"/>
              </w:rPr>
              <w:t>Nissan</w:t>
            </w:r>
            <w:r>
              <w:rPr>
                <w:rFonts w:ascii="Times New Roman;Times;serif" w:hAnsi="Times New Roman;Times;serif"/>
                <w:color w:val="231F20"/>
                <w:sz w:val="14"/>
              </w:rPr>
              <w:t>”)</w:t>
            </w:r>
            <w:r>
              <w:rPr>
                <w:rFonts w:ascii="Times New Roman;Times;serif" w:hAnsi="Times New Roman;Times;serif"/>
                <w:color w:val="231F20"/>
                <w:sz w:val="11"/>
              </w:rPr>
              <w:t>(5)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63,680,080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6.55</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Alliance Ventures B.V. (“</w:t>
            </w:r>
            <w:r>
              <w:rPr>
                <w:rFonts w:ascii="Times New Roman;Times;serif" w:hAnsi="Times New Roman;Times;serif"/>
                <w:b/>
                <w:color w:val="231F20"/>
                <w:sz w:val="14"/>
              </w:rPr>
              <w:t>Alliance Ventures</w:t>
            </w:r>
            <w:r>
              <w:rPr>
                <w:rFonts w:ascii="Times New Roman;Times;serif" w:hAnsi="Times New Roman;Times;serif"/>
                <w:color w:val="231F20"/>
                <w:sz w:val="14"/>
              </w:rPr>
              <w:t>”)</w:t>
            </w:r>
            <w:r>
              <w:rPr>
                <w:rFonts w:ascii="Times New Roman;Times;serif" w:hAnsi="Times New Roman;Times;serif"/>
                <w:color w:val="231F20"/>
                <w:sz w:val="11"/>
              </w:rPr>
              <w:t>(5)</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63,680,080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6.55</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SMB Holding Corporation (“</w:t>
            </w:r>
            <w:r>
              <w:rPr>
                <w:rFonts w:ascii="Times New Roman;Times;serif" w:hAnsi="Times New Roman;Times;serif"/>
                <w:b/>
                <w:color w:val="231F20"/>
                <w:sz w:val="14"/>
              </w:rPr>
              <w:t>SMB</w:t>
            </w:r>
            <w:r>
              <w:rPr>
                <w:rFonts w:ascii="Times New Roman;Times;serif" w:hAnsi="Times New Roman;Times;serif"/>
                <w:color w:val="231F20"/>
                <w:sz w:val="14"/>
              </w:rPr>
              <w:t>”)</w:t>
            </w:r>
            <w:r>
              <w:rPr>
                <w:rFonts w:ascii="Times New Roman;Times;serif" w:hAnsi="Times New Roman;Times;serif"/>
                <w:color w:val="231F20"/>
                <w:sz w:val="11"/>
              </w:rPr>
              <w:t>(6)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50,536,766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5.20</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Uber Technologies, Inc. (“</w:t>
            </w:r>
            <w:r>
              <w:rPr>
                <w:rFonts w:ascii="Times New Roman;Times;serif" w:hAnsi="Times New Roman;Times;serif"/>
                <w:b/>
                <w:color w:val="231F20"/>
                <w:sz w:val="14"/>
              </w:rPr>
              <w:t>Uber</w:t>
            </w:r>
            <w:r>
              <w:rPr>
                <w:rFonts w:ascii="Times New Roman;Times;serif" w:hAnsi="Times New Roman;Times;serif"/>
                <w:color w:val="231F20"/>
                <w:sz w:val="14"/>
              </w:rPr>
              <w:t>”)</w:t>
            </w:r>
            <w:r>
              <w:rPr>
                <w:rFonts w:ascii="Times New Roman;Times;serif" w:hAnsi="Times New Roman;Times;serif"/>
                <w:color w:val="231F20"/>
                <w:sz w:val="11"/>
              </w:rPr>
              <w:t>(6)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50,536,766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5.20</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Qiming Corporate GP V, Ltd. (“</w:t>
            </w:r>
            <w:r>
              <w:rPr>
                <w:rFonts w:ascii="Times New Roman;Times;serif" w:hAnsi="Times New Roman;Times;serif"/>
                <w:b/>
                <w:color w:val="231F20"/>
                <w:sz w:val="14"/>
              </w:rPr>
              <w:t>Qiming Corporate GP V</w:t>
            </w:r>
            <w:r>
              <w:rPr>
                <w:rFonts w:ascii="Times New Roman;Times;serif" w:hAnsi="Times New Roman;Times;serif"/>
                <w:color w:val="231F20"/>
                <w:sz w:val="14"/>
              </w:rPr>
              <w:t>”)</w:t>
            </w:r>
            <w:r>
              <w:rPr>
                <w:rFonts w:ascii="Times New Roman;Times;serif" w:hAnsi="Times New Roman;Times;serif"/>
                <w:color w:val="231F20"/>
                <w:sz w:val="11"/>
              </w:rPr>
              <w:t>(7)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49,269,870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5.07</w:t>
            </w:r>
          </w:p>
        </w:tc>
      </w:tr>
      <w:tr>
        <w:trPr/>
        <w:tc>
          <w:tcPr>
            <w:tcW w:w="5598" w:type="dxa"/>
            <w:tcBorders/>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Class B Ordinary Shares</w:t>
            </w:r>
          </w:p>
        </w:tc>
        <w:tc>
          <w:tcPr>
            <w:tcW w:w="346" w:type="dxa"/>
            <w:tcBorders/>
            <w:vAlign w:val="center"/>
          </w:tcPr>
          <w:p>
            <w:pPr>
              <w:pStyle w:val="TableContents"/>
              <w:bidi w:val="0"/>
              <w:spacing w:before="0" w:after="0"/>
              <w:ind w:left="0" w:right="0" w:hanging="0"/>
              <w:jc w:val="left"/>
              <w:rPr/>
            </w:pPr>
            <w:r>
              <w:rPr/>
              <w:t> </w:t>
            </w:r>
          </w:p>
        </w:tc>
        <w:tc>
          <w:tcPr>
            <w:tcW w:w="15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6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1042" w:type="dxa"/>
            <w:tcBorders/>
            <w:vAlign w:val="center"/>
          </w:tcPr>
          <w:p>
            <w:pPr>
              <w:pStyle w:val="TableContents"/>
              <w:bidi w:val="0"/>
              <w:spacing w:before="0" w:after="0"/>
              <w:ind w:left="0" w:right="0" w:hanging="0"/>
              <w:jc w:val="right"/>
              <w:rPr/>
            </w:pPr>
            <w:r>
              <w:rPr/>
              <w:t>  ​</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XHL</w:t>
            </w:r>
            <w:r>
              <w:rPr>
                <w:rFonts w:ascii="Times New Roman;Times;serif" w:hAnsi="Times New Roman;Times;serif"/>
                <w:color w:val="231F20"/>
                <w:sz w:val="11"/>
              </w:rPr>
              <w:t>(8)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24,850,000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45.33</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THL</w:t>
            </w:r>
            <w:r>
              <w:rPr>
                <w:rFonts w:ascii="Times New Roman;Times;serif" w:hAnsi="Times New Roman;Times;serif"/>
                <w:color w:val="231F20"/>
                <w:sz w:val="11"/>
              </w:rPr>
              <w:t>(8)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16,399,590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29.92</w:t>
            </w:r>
          </w:p>
        </w:tc>
      </w:tr>
      <w:tr>
        <w:trPr/>
        <w:tc>
          <w:tcPr>
            <w:tcW w:w="5598"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Humber Partners</w:t>
            </w:r>
            <w:r>
              <w:rPr>
                <w:rFonts w:ascii="Times New Roman;Times;serif" w:hAnsi="Times New Roman;Times;serif"/>
                <w:color w:val="231F20"/>
                <w:sz w:val="11"/>
              </w:rPr>
              <w:t>(9)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16,399,590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29.92</w:t>
            </w:r>
          </w:p>
        </w:tc>
      </w:tr>
      <w:tr>
        <w:trPr/>
        <w:tc>
          <w:tcPr>
            <w:tcW w:w="559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Beneficial interest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13,564,823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24.75</w:t>
            </w:r>
          </w:p>
        </w:tc>
      </w:tr>
      <w:tr>
        <w:trPr/>
        <w:tc>
          <w:tcPr>
            <w:tcW w:w="5598"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10 (L)</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0.00</w:t>
            </w:r>
          </w:p>
        </w:tc>
      </w:tr>
      <w:tr>
        <w:trPr/>
        <w:tc>
          <w:tcPr>
            <w:tcW w:w="5598"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4"/>
              </w:rPr>
              <w:t>Trident</w:t>
            </w:r>
            <w:r>
              <w:rPr>
                <w:rFonts w:ascii="Times New Roman;Times;serif" w:hAnsi="Times New Roman;Times;serif"/>
                <w:color w:val="231F20"/>
                <w:sz w:val="11"/>
              </w:rPr>
              <w:t>(8)(9)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64"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Interest in controlled corporation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3"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16,399,600 (L)</w:t>
            </w:r>
          </w:p>
        </w:tc>
        <w:tc>
          <w:tcPr>
            <w:tcW w:w="346" w:type="dxa"/>
            <w:tcBorders/>
            <w:vAlign w:val="center"/>
          </w:tcPr>
          <w:p>
            <w:pPr>
              <w:pStyle w:val="TableContents"/>
              <w:bidi w:val="0"/>
              <w:spacing w:before="0" w:after="0"/>
              <w:ind w:left="0" w:right="0" w:hanging="0"/>
              <w:jc w:val="right"/>
              <w:rPr>
                <w:color w:val="231F20"/>
              </w:rPr>
            </w:pPr>
            <w:r>
              <w:rPr>
                <w:color w:val="231F20"/>
              </w:rPr>
              <w:t> </w:t>
            </w:r>
          </w:p>
        </w:tc>
        <w:tc>
          <w:tcPr>
            <w:tcW w:w="1042" w:type="dxa"/>
            <w:tcBorders/>
            <w:vAlign w:val="center"/>
          </w:tcPr>
          <w:p>
            <w:pPr>
              <w:pStyle w:val="TableContents"/>
              <w:bidi w:val="0"/>
              <w:spacing w:before="0" w:after="0"/>
              <w:ind w:left="0" w:right="45" w:hanging="0"/>
              <w:jc w:val="right"/>
              <w:rPr>
                <w:rFonts w:ascii="Times New Roman;Times;serif" w:hAnsi="Times New Roman;Times;serif"/>
                <w:color w:val="231F20"/>
                <w:sz w:val="14"/>
              </w:rPr>
            </w:pPr>
            <w:r>
              <w:rPr>
                <w:rFonts w:ascii="Times New Roman;Times;serif" w:hAnsi="Times New Roman;Times;serif"/>
                <w:color w:val="231F20"/>
                <w:sz w:val="14"/>
              </w:rPr>
              <w:t>29.92</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w:t>
      </w:r>
    </w:p>
    <w:tbl>
      <w:tblPr>
        <w:tblW w:w="10202" w:type="dxa"/>
        <w:jc w:val="left"/>
        <w:tblInd w:w="0" w:type="dxa"/>
        <w:tblLayout w:type="fixed"/>
        <w:tblCellMar>
          <w:top w:w="0" w:type="dxa"/>
          <w:left w:w="0" w:type="dxa"/>
          <w:bottom w:w="0" w:type="dxa"/>
          <w:right w:w="0" w:type="dxa"/>
        </w:tblCellMar>
      </w:tblPr>
      <w:tblGrid>
        <w:gridCol w:w="346"/>
        <w:gridCol w:w="985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letter “L” denotes the person’s long position in the Shares and “S” denotes the person’s short position in the Shares.</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calculation is based on the total number of 972,508,041 Class A Ordinary Shares and 54,814,423 Class B Ordinary Shares in issue as of June 30, 2026.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Deutsche Bank was interested in an aggregate of 690,161,727 Class A Ordinary Shares (long position) and 690,161,727 Class A Ordinary Shares (short position) in the Company. According to the disclosure of interest notice filed by Deutsche Bank regarding the relevant event dated June 18, 2026, such Class A Ordinary Shares were held by Deutsche Bank via its subsidiary acting in its capacity as a depositary of the ADRs.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Zhengzhou Xufeng holds 92.4% partnership interest in Beijing Xufeng Zhiyuan Intelligent Technology Partnership (Limited Partnership) (</w:t>
            </w:r>
            <w:r>
              <w:rPr>
                <w:rFonts w:eastAsia="MHeiHK-Light"/>
                <w:b w:val="false"/>
                <w:i w:val="false"/>
                <w:caps w:val="false"/>
                <w:smallCaps w:val="false"/>
                <w:color w:val="231F20"/>
                <w:sz w:val="20"/>
              </w:rPr>
              <w:t>北京旭豐致遠智能科技合夥企業</w:t>
            </w:r>
            <w:r>
              <w:rPr>
                <w:rFonts w:ascii="Times New Roman;Times;serif" w:hAnsi="Times New Roman;Times;serif"/>
                <w:b w:val="false"/>
                <w:i w:val="false"/>
                <w:caps w:val="false"/>
                <w:smallCaps w:val="false"/>
                <w:color w:val="231F20"/>
                <w:sz w:val="20"/>
              </w:rPr>
              <w:t>(</w:t>
            </w:r>
            <w:r>
              <w:rPr>
                <w:rFonts w:eastAsia="MHeiHK-Light"/>
                <w:b w:val="false"/>
                <w:i w:val="false"/>
                <w:caps w:val="false"/>
                <w:smallCaps w:val="false"/>
                <w:color w:val="231F20"/>
                <w:sz w:val="20"/>
              </w:rPr>
              <w:t>有限合夥</w:t>
            </w:r>
            <w:r>
              <w:rPr>
                <w:rFonts w:ascii="Times New Roman;Times;serif" w:hAnsi="Times New Roman;Times;serif"/>
                <w:b w:val="false"/>
                <w:i w:val="false"/>
                <w:caps w:val="false"/>
                <w:smallCaps w:val="false"/>
                <w:color w:val="231F20"/>
                <w:sz w:val="20"/>
              </w:rPr>
              <w:t>)) (“</w:t>
            </w:r>
            <w:r>
              <w:rPr>
                <w:rFonts w:ascii="Times New Roman;Times;serif" w:hAnsi="Times New Roman;Times;serif"/>
                <w:b/>
                <w:i w:val="false"/>
                <w:caps w:val="false"/>
                <w:smallCaps w:val="false"/>
                <w:color w:val="231F20"/>
                <w:sz w:val="20"/>
              </w:rPr>
              <w:t>Beijing Xufeng</w:t>
            </w:r>
            <w:r>
              <w:rPr>
                <w:caps w:val="false"/>
                <w:smallCaps w:val="false"/>
                <w:color w:val="231F20"/>
              </w:rPr>
              <w:t>”</w:t>
            </w:r>
            <w:r>
              <w:rPr>
                <w:rFonts w:ascii="Times New Roman;Times;serif" w:hAnsi="Times New Roman;Times;serif"/>
                <w:b w:val="false"/>
                <w:i w:val="false"/>
                <w:caps w:val="false"/>
                <w:smallCaps w:val="false"/>
                <w:color w:val="231F20"/>
                <w:sz w:val="20"/>
              </w:rPr>
              <w:t xml:space="preserve">), which beneficially holds 39,790,747 Class A </w:t>
            </w:r>
            <w:r>
              <w:rPr>
                <w:rFonts w:ascii="Times New Roman;Times;serif" w:hAnsi="Times New Roman;Times;serif"/>
                <w:b w:val="false"/>
                <w:i w:val="false"/>
                <w:caps w:val="false"/>
                <w:smallCaps w:val="false"/>
                <w:sz w:val="20"/>
              </w:rPr>
              <w:t>Ordinary Shares. The general partner of both Zhengzhou Xufeng and Beijing Xufeng is Zhengzhou Xuxin. Zhengzhou Xuxin is wholly owned by Zhengzhou Yutong. Zhengzhou Yutong is owned as to 85% by Tongtai Zhihe. The general partner of Tongtai Zhihe is Tongtai Hezhi. Tongtai Hezhi is owned as to 52% by Mr. Tang. As such, Zhengzhou Xufeng is deemed to be interested in the Class A Ordinary Shares held by Beijing Xufeng under the SFO, and each of Mr. Tang, Tongtai Hezhi, Tongtai Zhihe, Zhengzhou Yutong, and Zhengzhou Xuxin is deemed to be interested in the Class A Ordinary Shares held by Zhengzhou Xufeng and Beijing Xufeng under the SFO.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Alliance Ventures is owned as to 40% by Renault s.a.s. and as to 40% by Nissan (a company listed on Tokyo Stock Exchange (stock code: 7201)). Renault s.a.s. is wholly owned by Renault (a company listed on Euronext Paris Stock Exchange (ticker symbol: RNO)). As such, each of Renault, Renault s.a.s., and Nissan is deemed to be interested in the Class A Ordinary Shares held by Alliance Ventures under the SFO.</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SMB is wholly owned by Uber. As such, Uber is deemed to be interested in the Class A Ordinary Shares held by SMB under the SFO.</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(7)</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Qiming Venture Partners V, L.P. and Qiming Managing Directors Fund V, L.P. are exempted limited partnerships registered under the laws of the Cayman Islands. Qiming Venture Partners V, L.P. and Qiming Managing Directors Fund V, L.P. hold 47,787,195 and 1,482,675 Class A Ordinary Shares, respectively. Qiming GP V, L.P. is the general partner of Qiming Venture Partners V, L.P., whereas Qiming Corporate GP V is the general partner of Qiming GP V, L.P. and Qiming Managing Directors Fund V, L.P. As such, Qiming Corporate GP V is deemed to be interested in the Class A Ordinary Shares held by Qiming Venture Partners V, L.P. and Qiming Managing Directors Fund V, L.P. under the SFO.</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XHL is owned as to 80% by Dr. Han. As such, Dr. Han is deemed to be interested in the Class B Ordinary Shares held by XHL under the SFO. </w:t>
            </w:r>
            <w:r>
              <w:rPr>
                <w:rFonts w:ascii="Times New Roman;Times;serif" w:hAnsi="Times New Roman;Times;serif"/>
                <w:b w:val="false"/>
                <w:i w:val="false"/>
                <w:caps w:val="false"/>
                <w:smallCaps w:val="false"/>
                <w:sz w:val="20"/>
              </w:rPr>
              <w:t>THL is owned as to 51% by XHL and as to 49% by Trident. Trident is the trustee of the Han Family Trust where Dr. Han is the protector and his descendants are the beneficiaries. As such, each of XHL and Trident is deemed to be interested in the Class B Ordinary Shares held by THL under the SFO.</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(9)</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Yanli is owned as to 51% by Humber Partners and as to 49% by Trident. Trident is the trustee of the Li Family Trust where Dr. Li is the protector and his descendants are the beneficiaries. As such, each of Humber Partners and Trident is deemed to be interested in the 10 Class B Ordinary Shares held by Yanli under the SFO.</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as disclosed above, to the best knowledge of the Directors, as of June 30, 2026, no person (other than the Directors and chief executive of the Company) had an interest or short position in the Shares or underlying Shares of the Company which would fall to be disclosed to the Company pursuant to Divisions 2 and 3 of Part XV of the SFO, or which would be recorded in the register required to be kept by the Company pursuant to Section 336 of the SFO.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LOCK-UP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sets out the list of persons who are, together with their respective close associates, subject to lock-up requirements pursuant to Rule 18C.14 of the Listing Rules:</w:t>
      </w:r>
    </w:p>
    <w:tbl>
      <w:tblPr>
        <w:tblW w:w="10205" w:type="dxa"/>
        <w:jc w:val="left"/>
        <w:tblInd w:w="0" w:type="dxa"/>
        <w:tblLayout w:type="fixed"/>
        <w:tblCellMar>
          <w:top w:w="0" w:type="dxa"/>
          <w:left w:w="0" w:type="dxa"/>
          <w:bottom w:w="0" w:type="dxa"/>
          <w:right w:w="0" w:type="dxa"/>
        </w:tblCellMar>
      </w:tblPr>
      <w:tblGrid>
        <w:gridCol w:w="1009"/>
        <w:gridCol w:w="346"/>
        <w:gridCol w:w="2722"/>
        <w:gridCol w:w="346"/>
        <w:gridCol w:w="1617"/>
        <w:gridCol w:w="346"/>
        <w:gridCol w:w="1063"/>
        <w:gridCol w:w="346"/>
        <w:gridCol w:w="2410"/>
      </w:tblGrid>
      <w:tr>
        <w:trPr/>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0715" cy="175260"/>
                      <wp:effectExtent l="0" t="0" r="0" b="0"/>
                      <wp:wrapNone/>
                      <wp:docPr id="36" name="Frame36"/>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28470" cy="175260"/>
                      <wp:effectExtent l="0" t="0" r="0" b="0"/>
                      <wp:wrapNone/>
                      <wp:docPr id="38" name="Frame38"/>
                      <a:graphic xmlns:a="http://schemas.openxmlformats.org/drawingml/2006/main">
                        <a:graphicData uri="http://schemas.microsoft.com/office/word/2010/wordprocessingShape">
                          <wps:wsp>
                            <wps:cNvSpPr txBox="1"/>
                            <wps:spPr>
                              <a:xfrm>
                                <a:off x="0" y="0"/>
                                <a:ext cx="172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26795" cy="175260"/>
                      <wp:effectExtent l="0" t="0" r="0" b="0"/>
                      <wp:wrapNone/>
                      <wp:docPr id="40" name="Frame40"/>
                      <a:graphic xmlns:a="http://schemas.openxmlformats.org/drawingml/2006/main">
                        <a:graphicData uri="http://schemas.microsoft.com/office/word/2010/wordprocessingShape">
                          <wps:wsp>
                            <wps:cNvSpPr txBox="1"/>
                            <wps:spPr>
                              <a:xfrm>
                                <a:off x="0" y="0"/>
                                <a:ext cx="1026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75005" cy="175260"/>
                      <wp:effectExtent l="0" t="0" r="0" b="0"/>
                      <wp:wrapNone/>
                      <wp:docPr id="42" name="Frame42"/>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30350" cy="175260"/>
                      <wp:effectExtent l="0" t="0" r="0" b="0"/>
                      <wp:wrapNone/>
                      <wp:docPr id="44" name="Frame44"/>
                      <a:graphic xmlns:a="http://schemas.openxmlformats.org/drawingml/2006/main">
                        <a:graphicData uri="http://schemas.microsoft.com/office/word/2010/wordprocessingShape">
                          <wps:wsp>
                            <wps:cNvSpPr txBox="1"/>
                            <wps:spPr>
                              <a:xfrm>
                                <a:off x="0" y="0"/>
                                <a:ext cx="153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22"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617"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Aggregate</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6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Percentage of</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2410" w:type="dxa"/>
            <w:tcBorders/>
            <w:vAlign w:val="center"/>
          </w:tcPr>
          <w:p>
            <w:pPr>
              <w:pStyle w:val="TableContents"/>
              <w:bidi w:val="0"/>
              <w:spacing w:before="0" w:after="0"/>
              <w:ind w:left="0" w:right="0" w:hanging="0"/>
              <w:jc w:val="center"/>
              <w:rPr>
                <w:color w:val="231F20"/>
              </w:rPr>
            </w:pPr>
            <w:r>
              <w:rPr>
                <w:color w:val="231F20"/>
              </w:rPr>
              <w:t>  ​</w:t>
            </w:r>
          </w:p>
        </w:tc>
      </w:tr>
      <w:tr>
        <w:trPr/>
        <w:tc>
          <w:tcPr>
            <w:tcW w:w="1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617"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6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 subject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41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Lock-up </w:t>
            </w:r>
          </w:p>
        </w:tc>
      </w:tr>
      <w:tr>
        <w:trPr/>
        <w:tc>
          <w:tcPr>
            <w:tcW w:w="1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617"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of Shares held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6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to lock-up</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41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Period for</w:t>
            </w:r>
          </w:p>
        </w:tc>
      </w:tr>
      <w:tr>
        <w:trPr/>
        <w:tc>
          <w:tcPr>
            <w:tcW w:w="1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617"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at the Latest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063"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 xml:space="preserve">requirement </w:t>
            </w:r>
            <w:r>
              <w:rPr>
                <w:rFonts w:ascii="Times New Roman;Times;serif" w:hAnsi="Times New Roman;Times;serif"/>
                <w:b/>
                <w:color w:val="231F20"/>
                <w:sz w:val="12"/>
              </w:rPr>
              <w:t>(1)</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41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 Commercial</w:t>
            </w:r>
          </w:p>
        </w:tc>
      </w:tr>
      <w:tr>
        <w:trPr/>
        <w:tc>
          <w:tcPr>
            <w:tcW w:w="10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Person</w:t>
            </w:r>
          </w:p>
        </w:tc>
        <w:tc>
          <w:tcPr>
            <w:tcW w:w="346" w:type="dxa"/>
            <w:tcBorders/>
            <w:vAlign w:val="center"/>
          </w:tcPr>
          <w:p>
            <w:pPr>
              <w:pStyle w:val="TableContents"/>
              <w:bidi w:val="0"/>
              <w:spacing w:before="0" w:after="0"/>
              <w:ind w:left="0" w:right="0" w:hanging="0"/>
              <w:jc w:val="left"/>
              <w:rPr/>
            </w:pPr>
            <w:r>
              <w:rPr/>
              <w:t>  ​ ​</w:t>
            </w:r>
          </w:p>
        </w:tc>
        <w:tc>
          <w:tcPr>
            <w:tcW w:w="27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Capacity</w:t>
            </w:r>
          </w:p>
        </w:tc>
        <w:tc>
          <w:tcPr>
            <w:tcW w:w="346" w:type="dxa"/>
            <w:tcBorders/>
            <w:vAlign w:val="center"/>
          </w:tcPr>
          <w:p>
            <w:pPr>
              <w:pStyle w:val="TableContents"/>
              <w:bidi w:val="0"/>
              <w:spacing w:before="0" w:after="0"/>
              <w:ind w:left="0" w:right="0" w:hanging="0"/>
              <w:jc w:val="left"/>
              <w:rPr/>
            </w:pPr>
            <w:r>
              <w:rPr/>
              <w:t>  ​ ​</w:t>
            </w:r>
          </w:p>
        </w:tc>
        <w:tc>
          <w:tcPr>
            <w:tcW w:w="16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Practicable Date</w:t>
            </w:r>
          </w:p>
        </w:tc>
        <w:tc>
          <w:tcPr>
            <w:tcW w:w="346" w:type="dxa"/>
            <w:tcBorders/>
            <w:vAlign w:val="center"/>
          </w:tcPr>
          <w:p>
            <w:pPr>
              <w:pStyle w:val="TableContents"/>
              <w:bidi w:val="0"/>
              <w:spacing w:before="0" w:after="0"/>
              <w:ind w:left="0" w:right="0" w:hanging="0"/>
              <w:jc w:val="left"/>
              <w:rPr/>
            </w:pPr>
            <w:r>
              <w:rPr/>
              <w:t>  ​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w:t>
            </w:r>
          </w:p>
        </w:tc>
        <w:tc>
          <w:tcPr>
            <w:tcW w:w="346" w:type="dxa"/>
            <w:tcBorders/>
            <w:vAlign w:val="center"/>
          </w:tcPr>
          <w:p>
            <w:pPr>
              <w:pStyle w:val="TableContents"/>
              <w:bidi w:val="0"/>
              <w:spacing w:before="0" w:after="0"/>
              <w:ind w:left="0" w:right="0" w:hanging="0"/>
              <w:jc w:val="left"/>
              <w:rPr/>
            </w:pPr>
            <w:r>
              <w:rPr/>
              <w:t>  ​ ​</w:t>
            </w:r>
          </w:p>
        </w:tc>
        <w:tc>
          <w:tcPr>
            <w:tcW w:w="2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Company</w:t>
            </w:r>
          </w:p>
        </w:tc>
      </w:tr>
      <w:tr>
        <w:trPr/>
        <w:tc>
          <w:tcPr>
            <w:tcW w:w="1009"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Dr. Han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272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Founder, chairman of the Board, executive Director, CEO, and WVR Beneficiary</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61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color w:val="231F20"/>
                <w:sz w:val="16"/>
              </w:rPr>
              <w:t>41,249,590 Class B Ordinary Shares</w:t>
            </w:r>
            <w:r>
              <w:rPr>
                <w:rFonts w:ascii="Times New Roman;Times;serif" w:hAnsi="Times New Roman;Times;serif"/>
                <w:color w:val="231F20"/>
                <w:sz w:val="12"/>
              </w:rPr>
              <w:t>(2)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4.0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2410"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The period commencing on the date of the Prospectus and ending</w:t>
            </w:r>
          </w:p>
        </w:tc>
      </w:tr>
      <w:tr>
        <w:trPr/>
        <w:tc>
          <w:tcPr>
            <w:tcW w:w="1009" w:type="dxa"/>
            <w:tcBorders/>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Dr. Li</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2722" w:type="dxa"/>
            <w:tcBorders/>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Co-founder, executive Director, CTO, and WVR Beneficiary</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617"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color w:val="231F20"/>
                <w:sz w:val="16"/>
              </w:rPr>
              <w:t>27,129,666 Class A Ordinary Shares</w:t>
            </w:r>
            <w:r>
              <w:rPr>
                <w:rFonts w:ascii="Times New Roman;Times;serif" w:hAnsi="Times New Roman;Times;serif"/>
                <w:color w:val="231F20"/>
                <w:sz w:val="12"/>
              </w:rPr>
              <w:t>(3)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2.6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2410" w:type="dxa"/>
            <w:tcBorders/>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on the date which is 12 months from</w:t>
            </w:r>
          </w:p>
        </w:tc>
      </w:tr>
      <w:tr>
        <w:trPr/>
        <w:tc>
          <w:tcPr>
            <w:tcW w:w="1009"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2722"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61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color w:val="231F20"/>
                <w:sz w:val="16"/>
              </w:rPr>
              <w:t>13,564,833 Class B Ordinary Shares</w:t>
            </w:r>
            <w:r>
              <w:rPr>
                <w:rFonts w:ascii="Times New Roman;Times;serif" w:hAnsi="Times New Roman;Times;serif"/>
                <w:color w:val="231F20"/>
                <w:sz w:val="12"/>
              </w:rPr>
              <w:t>(4)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1.3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241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color w:val="231F20"/>
                <w:sz w:val="16"/>
              </w:rPr>
              <w:t>the Listing Date</w:t>
            </w:r>
            <w:r>
              <w:rPr>
                <w:rFonts w:ascii="Times New Roman;Times;serif" w:hAnsi="Times New Roman;Times;serif"/>
                <w:color w:val="231F20"/>
                <w:sz w:val="12"/>
              </w:rPr>
              <w:t>(5)</w:t>
            </w:r>
          </w:p>
        </w:tc>
      </w:tr>
      <w:tr>
        <w:trPr/>
        <w:tc>
          <w:tcPr>
            <w:tcW w:w="1009"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722"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617"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063"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410" w:type="dxa"/>
            <w:tcBorders/>
            <w:vAlign w:val="center"/>
          </w:tcPr>
          <w:p>
            <w:pPr>
              <w:pStyle w:val="TableContents"/>
              <w:bidi w:val="0"/>
              <w:spacing w:before="0" w:after="0"/>
              <w:ind w:left="0" w:right="0" w:hanging="0"/>
              <w:jc w:val="left"/>
              <w:rPr>
                <w:color w:val="231F20"/>
              </w:rPr>
            </w:pPr>
            <w:r>
              <w:rPr>
                <w:color w:val="231F20"/>
              </w:rPr>
              <w:t>​</w:t>
            </w:r>
          </w:p>
        </w:tc>
      </w:tr>
      <w:tr>
        <w:trPr/>
        <w:tc>
          <w:tcPr>
            <w:tcW w:w="1009" w:type="dxa"/>
            <w:tcBorders/>
            <w:shd w:fill="CCEEFF" w:val="clear"/>
            <w:vAlign w:val="center"/>
          </w:tcPr>
          <w:p>
            <w:pPr>
              <w:pStyle w:val="TableContents"/>
              <w:bidi w:val="0"/>
              <w:spacing w:before="0" w:after="0"/>
              <w:ind w:left="0" w:right="0" w:hanging="0"/>
              <w:jc w:val="left"/>
              <w:rPr/>
            </w:pPr>
            <w:r>
              <w:rPr>
                <w:rFonts w:ascii="Times New Roman;Times;serif" w:hAnsi="Times New Roman;Times;serif"/>
                <w:color w:val="231F20"/>
                <w:sz w:val="16"/>
              </w:rPr>
              <w:t>Dr. Hua Zhong (</w:t>
            </w:r>
            <w:r>
              <w:rPr>
                <w:rFonts w:eastAsia="MHeiHK-Light"/>
                <w:color w:val="231F20"/>
                <w:sz w:val="16"/>
              </w:rPr>
              <w:t>鍾華</w:t>
            </w:r>
            <w:r>
              <w:rPr>
                <w:rFonts w:ascii="Times New Roman;Times;serif" w:hAnsi="Times New Roman;Times;serif"/>
                <w:color w:val="231F20"/>
                <w:sz w:val="16"/>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2722"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Senior vice president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617"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16,573,442 Class A Ordinary Shares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1.6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241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calculation is based on the total number of 972,508,041 Class A Ordinary Shares and 54,814,423 Class B Ordinary Shares in issue as of the Latest Practicable Date.</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Represents the 24,850,000 Class B Ordinary Shares held by XHL and the 16,399,590 Class B Ordinary Shares held by THL. XHL is owned as to 80% by Dr. Han and as to 20% by Trident. THL is owned as to 51% by XHL and as to 49% by Trident. Trident is the trustee of the Han Family Trust where Dr. Han is the protector and his descendants are the beneficiaries.</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Represents the 11,129,666 Class A Ordinary Shares held by Humber Partners and the 16,000,000 Class A Ordinary Shares held by Yanli. Humber Partners is owned as to 80% by Dr. Li and as to 20% by Trident. Yanli is owned as to 51% by Humber Partners and as to 49% by Trident. Trident is the trustee of the Li Family Trust where Dr. Li is the protector and his descendants are the beneficiaries.</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86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Represents the 13,564,823 Class B Ordinary Shares held by Humber Partners and the 10 Class B Ordinary Shares held by Yanli.</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Dr. Han has voluntarily committed to a three-year lock-up, effective as of October 28, 2025, covering all Shares of the share capital of the Company or securities convertible into, exchangeable, or exercisable for any Share of the share capital of the Company, directly or indirectly owned or controlled by him. During this lock-up period, Dr. Han will not sell, transfer, pledge, or otherwise dispose of any of such securities, subject to customary exceptions.</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Dr. Han and Dr. Li are entitled to receive 27,595,520 Class A Ordinary Shares and 10,513,974 Class A Ordinary Shares, respectively, pursuant to the share options granted to them under the 2018 Share Plan, subject to the relevant conditions (including vesting conditions) thereunder. The Class A Ordinary Shares to be allotted and issued upon exercise of the share options by Dr. Han and Dr. Li during the period commencing on the date of the Prospectus and ending on the date which is 12 months from the Listing Date will also be subject to lock-up during such period.</w:t>
            </w:r>
          </w:p>
        </w:tc>
      </w:tr>
    </w:tbl>
    <w:p>
      <w:pPr>
        <w:pStyle w:val="TextBody"/>
        <w:bidi w:val="0"/>
        <w:spacing w:before="0" w:after="0"/>
        <w:ind w:left="0" w:right="0" w:hanging="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SCHEMES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2018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adopted the 2018 Share Plan on June 12, 2018, which was amended and restated on July 26, 2024. The principal terms of the 2018 Share Plan, as amended and currently in force, are as described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Purpose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purpose of the 2018 Share Plan is to attract, incentivize and retain employees, directors and consultants of our Company and to promote the success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Type of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2018 Share Plan provides for the direct award or sale of Shares, the grant of share options to purchase Shares and the grant of restricted share units to acquire Shares. Share options granted under the plan may be incentive stock options (“</w:t>
      </w:r>
      <w:r>
        <w:rPr>
          <w:rFonts w:ascii="Times New Roman;Times;serif" w:hAnsi="Times New Roman;Times;serif"/>
          <w:b/>
          <w:sz w:val="20"/>
        </w:rPr>
        <w:t>ISOs</w:t>
      </w:r>
      <w:r>
        <w:rPr>
          <w:rFonts w:ascii="Times New Roman;Times;serif" w:hAnsi="Times New Roman;Times;serif"/>
          <w:sz w:val="20"/>
        </w:rPr>
        <w:t>”) intended to qualify under Section 422 of the Internal Revenue Code of 1986 or non-qualified stock options (“</w:t>
      </w:r>
      <w:r>
        <w:rPr>
          <w:rFonts w:ascii="Times New Roman;Times;serif" w:hAnsi="Times New Roman;Times;serif"/>
          <w:b/>
          <w:sz w:val="20"/>
        </w:rPr>
        <w:t>NSOs</w:t>
      </w:r>
      <w:r>
        <w:rPr>
          <w:rFonts w:ascii="Times New Roman;Times;serif" w:hAnsi="Times New Roman;Times;serif"/>
          <w:sz w:val="20"/>
        </w:rPr>
        <w:t>”) which are not intended to so qualify.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Plan Limit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more than 311,125,716 Shares may be issued under the 2018 Share Plan initially (to be equitably adjusted in the event of any share dividend, subdivision, reclassification, recapitalization, split, reverse split, combination, consolidation or similar transactions), representing approximately 31.53% of the total issued Shares (excluding treasury Shares) of the Company as of the date of this interim report. There is no service provider sub-limit under the 2018 Share Plan. The terms of the 2018 Share Plan do not comply with the requirements of Chapter 17 of the Listing Rules, and therefore no further grants may be made under the 2018 Share Plan following the Company’s Listing on the Stock Exchange.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Plan Administration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or one or more committees appointed by our Board will administer the 2018 Share Plan. The committee or our Board, as applicable, shall have full authority and discretion to take any actions it deems necessary or advisable for the administration of the 2018 Share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Award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award of Shares, each sale of Shares, each grant of a share option and each grant of restricted share units under the 2018 Share Plan shall be evidenced by a share grant agreement, a share purchase agreement, a share option agreement and restricted share unit agreement, respectively. Such award, sale and share option shall be subject to all applicable terms and conditions of the 2018 Share Plan and such other terms which our Board deems appropriate for inclusion in a share grant agreement or share purchase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Eligibility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employees, directors and consultants of the Group are eligible for the grant of awards under the 2018 Share Plan, while only employees shall be eligible for the grant of ISOs.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Vesting Schedule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general, the plan administrator determines the vesting schedule, which is specified in the relevant share option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Exercise of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administrator determines the exercise or purchase price, as applicable, for Shares to be offered or options or restricted share units to be granted, which is specified in the relevant award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Restrictions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Awards may not be transferred in any manner by the participant other than in accordance with the exceptions provided in the 2018 Share Plan or the relevant award agreement or otherwise determined by the plan administrator, such as transfers by a beneficiary designation, by will or the laws of descent and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Termination and Amendment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terminated earlier, the 2018 Share Plan has a term of ten years after the later of (i) the date when our Board adopted the 2018 Share Plan or (ii) the date when our Board and Shareholders approved the most recent increase in the number of Shares reserved. Accordingly, the remaining life of the 2018 Share Plan is approximately 7.9 years. Our Board has the authority to amend, suspend, or terminate the 2018 Share Plan at any time and for any reason. Any amendment to the 2018 Share Plan, however, is subject to the Shareholders’ approval only to the extent required to comply with applicable laws, regulations and rules.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Maximum Entitlement of Each Participant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no maximum limit on the entitlement of each participant under the 2018 Share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Exercise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share option shall be exercisable after the expiration of ten (10) years from the date of its grant or such shorter period as specified in the relevant share option agreement. The plan administrator may determine the exercise period of each option at its discretion, subject to the foregoing maximum term. In the case of ISOs granted to participants who own more than 10% of the total combined voting power of all classes of outstanding Shares of the Company, the option term shall not exceed five (5) years from the date of grant.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Consideration for Acceptance of Share Options or Share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cash consideration is required of a participant upon the grant of any option or award under the 2018 Share Plan. Upon exercise of an option, the participant shall pay the applicable exercise price as set out in the relevant share option agreement in cash or cash equivalents, or by such other permitted payment method as the Board may allow. No exercise price or purchase price is payable by a participant upon the vesting or settlement of restricted share units granted under the 2018 Share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Determining the Exercise Price of Share Options and Purchase Price of Share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for each Class A Ordinary Share to be subscribed upon exercise of an option shall be determined by the plan administrator and as set forth in the relevant share option agreement. In the case of ISOs intended to qualify under Section 422 of the United States Internal Revenue Code of 1986, the exercise price shall be not less than 100% of the fair market value of a Class A Ordinary Share on the date of grant. In the case of NSOs, the exercise price shall generally be not less than 100% of the fair market value of a Class A Ordinary Share on the date of grant, except for NSOs granted to persons who are not U.S. taxpayers on the date of grant or NSOs intended to comply with or be exempt from Section 409A of the United States Internal Revenue Code of 1986. No purchase price is payable upon the vesting of restricted share units granted under the 2018 Share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Outstanding Share Options and Share Awards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granted further share options under the 2018 Share Plan after the Listing Date. Details of the movements of share options granted under the 2018 Share Plan during the Reporting Period are as follows:</w:t>
      </w:r>
    </w:p>
    <w:tbl>
      <w:tblPr>
        <w:tblW w:w="10414" w:type="dxa"/>
        <w:jc w:val="left"/>
        <w:tblInd w:w="0" w:type="dxa"/>
        <w:tblLayout w:type="fixed"/>
        <w:tblCellMar>
          <w:top w:w="0" w:type="dxa"/>
          <w:left w:w="0" w:type="dxa"/>
          <w:bottom w:w="0" w:type="dxa"/>
          <w:right w:w="0" w:type="dxa"/>
        </w:tblCellMar>
      </w:tblPr>
      <w:tblGrid>
        <w:gridCol w:w="676"/>
        <w:gridCol w:w="346"/>
        <w:gridCol w:w="616"/>
        <w:gridCol w:w="346"/>
        <w:gridCol w:w="766"/>
        <w:gridCol w:w="346"/>
        <w:gridCol w:w="661"/>
        <w:gridCol w:w="346"/>
        <w:gridCol w:w="856"/>
        <w:gridCol w:w="346"/>
        <w:gridCol w:w="706"/>
        <w:gridCol w:w="346"/>
        <w:gridCol w:w="706"/>
        <w:gridCol w:w="346"/>
        <w:gridCol w:w="706"/>
        <w:gridCol w:w="346"/>
        <w:gridCol w:w="706"/>
        <w:gridCol w:w="346"/>
        <w:gridCol w:w="901"/>
      </w:tblGrid>
      <w:tr>
        <w:trPr/>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5" name="Frame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91160" cy="175260"/>
                      <wp:effectExtent l="0" t="0" r="0" b="0"/>
                      <wp:wrapNone/>
                      <wp:docPr id="47" name="Frame4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86410" cy="175260"/>
                      <wp:effectExtent l="0" t="0" r="0" b="0"/>
                      <wp:wrapNone/>
                      <wp:docPr id="49" name="Frame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19735" cy="175260"/>
                      <wp:effectExtent l="0" t="0" r="0" b="0"/>
                      <wp:wrapNone/>
                      <wp:docPr id="51" name="Frame5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43560" cy="175260"/>
                      <wp:effectExtent l="0" t="0" r="0" b="0"/>
                      <wp:wrapNone/>
                      <wp:docPr id="53" name="Frame5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48310" cy="175260"/>
                      <wp:effectExtent l="0" t="0" r="0" b="0"/>
                      <wp:wrapNone/>
                      <wp:docPr id="55" name="Frame5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48310" cy="175260"/>
                      <wp:effectExtent l="0" t="0" r="0" b="0"/>
                      <wp:wrapNone/>
                      <wp:docPr id="57" name="Frame5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48310" cy="175260"/>
                      <wp:effectExtent l="0" t="0" r="0" b="0"/>
                      <wp:wrapNone/>
                      <wp:docPr id="59" name="Frame5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48310" cy="175260"/>
                      <wp:effectExtent l="0" t="0" r="0" b="0"/>
                      <wp:wrapNone/>
                      <wp:docPr id="61" name="Frame6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72135" cy="175260"/>
                      <wp:effectExtent l="0" t="0" r="0" b="0"/>
                      <wp:wrapNone/>
                      <wp:docPr id="63" name="Frame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61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Exercise price</w:t>
            </w:r>
          </w:p>
        </w:tc>
        <w:tc>
          <w:tcPr>
            <w:tcW w:w="346" w:type="dxa"/>
            <w:tcBorders/>
            <w:vAlign w:val="center"/>
          </w:tcPr>
          <w:p>
            <w:pPr>
              <w:pStyle w:val="TableContents"/>
              <w:bidi w:val="0"/>
              <w:spacing w:before="0" w:after="0"/>
              <w:ind w:left="0" w:right="0" w:hanging="0"/>
              <w:jc w:val="center"/>
              <w:rPr/>
            </w:pPr>
            <w:r>
              <w:rPr/>
              <w:t>  ​ ​ ​</w:t>
            </w:r>
          </w:p>
        </w:tc>
        <w:tc>
          <w:tcPr>
            <w:tcW w:w="6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706"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706"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706"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706"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01" w:type="dxa"/>
            <w:tcBorders/>
            <w:vAlign w:val="center"/>
          </w:tcPr>
          <w:p>
            <w:pPr>
              <w:pStyle w:val="TableContents"/>
              <w:bidi w:val="0"/>
              <w:spacing w:before="0" w:after="0"/>
              <w:ind w:left="0" w:right="0" w:hanging="0"/>
              <w:jc w:val="center"/>
              <w:rPr>
                <w:color w:val="231F20"/>
              </w:rPr>
            </w:pPr>
            <w:r>
              <w:rPr>
                <w:color w:val="231F20"/>
              </w:rPr>
              <w:t>  ​</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1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per Class A</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01" w:type="dxa"/>
            <w:tcBorders/>
            <w:vAlign w:val="center"/>
          </w:tcPr>
          <w:p>
            <w:pPr>
              <w:pStyle w:val="TableContents"/>
              <w:bidi w:val="0"/>
              <w:spacing w:before="0" w:after="0"/>
              <w:ind w:left="0" w:right="0" w:hanging="0"/>
              <w:jc w:val="center"/>
              <w:rPr>
                <w:color w:val="231F20"/>
              </w:rPr>
            </w:pPr>
            <w:r>
              <w:rPr>
                <w:color w:val="231F20"/>
              </w:rPr>
              <w:t>​</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1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Ordinary Share</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50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Number of Class A Ordinary Shares underlying the relevant share options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01" w:type="dxa"/>
            <w:tcBorders/>
            <w:vAlign w:val="center"/>
          </w:tcPr>
          <w:p>
            <w:pPr>
              <w:pStyle w:val="TableContents"/>
              <w:bidi w:val="0"/>
              <w:spacing w:before="0" w:after="0"/>
              <w:ind w:left="0" w:right="0" w:hanging="0"/>
              <w:jc w:val="left"/>
              <w:rPr>
                <w:color w:val="231F20"/>
              </w:rPr>
            </w:pPr>
            <w:r>
              <w:rPr>
                <w:color w:val="231F20"/>
              </w:rPr>
              <w:t>​</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1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underlying</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Outstanding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Granted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Exercised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Cancelled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Lapsed</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Outstanding</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1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the share</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as of</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during the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during the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during the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during the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as of</w:t>
            </w:r>
          </w:p>
        </w:tc>
      </w:tr>
      <w:tr>
        <w:trPr/>
        <w:tc>
          <w:tcPr>
            <w:tcW w:w="676" w:type="dxa"/>
            <w:tcBorders/>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Category or name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Date of</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options</w:t>
            </w:r>
          </w:p>
        </w:tc>
        <w:tc>
          <w:tcPr>
            <w:tcW w:w="346" w:type="dxa"/>
            <w:tcBorders/>
            <w:vAlign w:val="center"/>
          </w:tcPr>
          <w:p>
            <w:pPr>
              <w:pStyle w:val="TableContents"/>
              <w:bidi w:val="0"/>
              <w:spacing w:before="0" w:after="0"/>
              <w:ind w:left="0" w:right="0" w:hanging="0"/>
              <w:jc w:val="center"/>
              <w:rPr/>
            </w:pPr>
            <w:r>
              <w:rPr/>
              <w:t>​</w:t>
            </w:r>
          </w:p>
        </w:tc>
        <w:tc>
          <w:tcPr>
            <w:tcW w:w="6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January</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June</w:t>
            </w:r>
          </w:p>
        </w:tc>
      </w:tr>
      <w:tr>
        <w:trPr/>
        <w:tc>
          <w:tcPr>
            <w:tcW w:w="67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of grantee</w:t>
            </w:r>
          </w:p>
        </w:tc>
        <w:tc>
          <w:tcPr>
            <w:tcW w:w="346" w:type="dxa"/>
            <w:tcBorders/>
            <w:vAlign w:val="center"/>
          </w:tcPr>
          <w:p>
            <w:pPr>
              <w:pStyle w:val="TableContents"/>
              <w:bidi w:val="0"/>
              <w:spacing w:before="0" w:after="0"/>
              <w:ind w:left="0" w:right="0" w:hanging="0"/>
              <w:jc w:val="left"/>
              <w:rPr/>
            </w:pPr>
            <w:r>
              <w:rPr/>
              <w:t>  ​ ​</w:t>
            </w:r>
          </w:p>
        </w:tc>
        <w:tc>
          <w:tcPr>
            <w:tcW w:w="61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grant</w:t>
            </w:r>
          </w:p>
        </w:tc>
        <w:tc>
          <w:tcPr>
            <w:tcW w:w="346" w:type="dxa"/>
            <w:tcBorders/>
            <w:vAlign w:val="center"/>
          </w:tcPr>
          <w:p>
            <w:pPr>
              <w:pStyle w:val="TableContents"/>
              <w:bidi w:val="0"/>
              <w:spacing w:before="0" w:after="0"/>
              <w:ind w:left="0" w:right="0" w:hanging="0"/>
              <w:jc w:val="left"/>
              <w:rPr/>
            </w:pPr>
            <w:r>
              <w:rPr/>
              <w:t>  ​ ​</w:t>
            </w:r>
          </w:p>
        </w:tc>
        <w:tc>
          <w:tcPr>
            <w:tcW w:w="76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(US$)</w:t>
            </w:r>
          </w:p>
        </w:tc>
        <w:tc>
          <w:tcPr>
            <w:tcW w:w="346" w:type="dxa"/>
            <w:tcBorders/>
            <w:vAlign w:val="center"/>
          </w:tcPr>
          <w:p>
            <w:pPr>
              <w:pStyle w:val="TableContents"/>
              <w:bidi w:val="0"/>
              <w:spacing w:before="0" w:after="0"/>
              <w:ind w:left="0" w:right="0" w:hanging="0"/>
              <w:jc w:val="left"/>
              <w:rPr/>
            </w:pPr>
            <w:r>
              <w:rPr/>
              <w:t>  ​ ​</w:t>
            </w:r>
          </w:p>
        </w:tc>
        <w:tc>
          <w:tcPr>
            <w:tcW w:w="661" w:type="dxa"/>
            <w:tcBorders>
              <w:bottom w:val="single" w:sz="2" w:space="0" w:color="231F2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color w:val="231F20"/>
                <w:sz w:val="13"/>
              </w:rPr>
              <w:t>Vesting period</w:t>
            </w:r>
            <w:r>
              <w:rPr>
                <w:rFonts w:ascii="Times New Roman;Times;serif" w:hAnsi="Times New Roman;Times;serif"/>
                <w:b/>
                <w:color w:val="231F20"/>
                <w:sz w:val="10"/>
              </w:rPr>
              <w:t>(1)</w:t>
            </w:r>
          </w:p>
        </w:tc>
        <w:tc>
          <w:tcPr>
            <w:tcW w:w="346" w:type="dxa"/>
            <w:tcBorders/>
            <w:vAlign w:val="center"/>
          </w:tcPr>
          <w:p>
            <w:pPr>
              <w:pStyle w:val="TableContents"/>
              <w:bidi w:val="0"/>
              <w:spacing w:before="0" w:after="0"/>
              <w:ind w:left="0" w:right="0" w:hanging="0"/>
              <w:jc w:val="left"/>
              <w:rPr/>
            </w:pPr>
            <w:r>
              <w:rPr/>
              <w:t>  ​ ​</w:t>
            </w:r>
          </w:p>
        </w:tc>
        <w:tc>
          <w:tcPr>
            <w:tcW w:w="85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1, 2026</w:t>
            </w:r>
          </w:p>
        </w:tc>
        <w:tc>
          <w:tcPr>
            <w:tcW w:w="346" w:type="dxa"/>
            <w:tcBorders/>
            <w:vAlign w:val="center"/>
          </w:tcPr>
          <w:p>
            <w:pPr>
              <w:pStyle w:val="TableContents"/>
              <w:bidi w:val="0"/>
              <w:spacing w:before="0" w:after="0"/>
              <w:ind w:left="0" w:right="0" w:hanging="0"/>
              <w:jc w:val="left"/>
              <w:rPr/>
            </w:pPr>
            <w:r>
              <w:rPr/>
              <w:t>  ​ ​</w:t>
            </w:r>
          </w:p>
        </w:tc>
        <w:tc>
          <w:tcPr>
            <w:tcW w:w="70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Period</w:t>
            </w:r>
          </w:p>
        </w:tc>
        <w:tc>
          <w:tcPr>
            <w:tcW w:w="346" w:type="dxa"/>
            <w:tcBorders/>
            <w:vAlign w:val="center"/>
          </w:tcPr>
          <w:p>
            <w:pPr>
              <w:pStyle w:val="TableContents"/>
              <w:bidi w:val="0"/>
              <w:spacing w:before="0" w:after="0"/>
              <w:ind w:left="0" w:right="0" w:hanging="0"/>
              <w:jc w:val="left"/>
              <w:rPr/>
            </w:pPr>
            <w:r>
              <w:rPr/>
              <w:t>  ​ ​</w:t>
            </w:r>
          </w:p>
        </w:tc>
        <w:tc>
          <w:tcPr>
            <w:tcW w:w="70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Period</w:t>
            </w:r>
          </w:p>
        </w:tc>
        <w:tc>
          <w:tcPr>
            <w:tcW w:w="346" w:type="dxa"/>
            <w:tcBorders/>
            <w:vAlign w:val="center"/>
          </w:tcPr>
          <w:p>
            <w:pPr>
              <w:pStyle w:val="TableContents"/>
              <w:bidi w:val="0"/>
              <w:spacing w:before="0" w:after="0"/>
              <w:ind w:left="0" w:right="0" w:hanging="0"/>
              <w:jc w:val="left"/>
              <w:rPr/>
            </w:pPr>
            <w:r>
              <w:rPr/>
              <w:t>  ​ ​</w:t>
            </w:r>
          </w:p>
        </w:tc>
        <w:tc>
          <w:tcPr>
            <w:tcW w:w="70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Period</w:t>
            </w:r>
          </w:p>
        </w:tc>
        <w:tc>
          <w:tcPr>
            <w:tcW w:w="346" w:type="dxa"/>
            <w:tcBorders/>
            <w:vAlign w:val="center"/>
          </w:tcPr>
          <w:p>
            <w:pPr>
              <w:pStyle w:val="TableContents"/>
              <w:bidi w:val="0"/>
              <w:spacing w:before="0" w:after="0"/>
              <w:ind w:left="0" w:right="0" w:hanging="0"/>
              <w:jc w:val="left"/>
              <w:rPr/>
            </w:pPr>
            <w:r>
              <w:rPr/>
              <w:t>  ​ ​</w:t>
            </w:r>
          </w:p>
        </w:tc>
        <w:tc>
          <w:tcPr>
            <w:tcW w:w="70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Period</w:t>
            </w:r>
          </w:p>
        </w:tc>
        <w:tc>
          <w:tcPr>
            <w:tcW w:w="346" w:type="dxa"/>
            <w:tcBorders/>
            <w:vAlign w:val="center"/>
          </w:tcPr>
          <w:p>
            <w:pPr>
              <w:pStyle w:val="TableContents"/>
              <w:bidi w:val="0"/>
              <w:spacing w:before="0" w:after="0"/>
              <w:ind w:left="0" w:right="0" w:hanging="0"/>
              <w:jc w:val="left"/>
              <w:rPr/>
            </w:pPr>
            <w:r>
              <w:rPr/>
              <w:t>  ​ ​</w:t>
            </w:r>
          </w:p>
        </w:tc>
        <w:tc>
          <w:tcPr>
            <w:tcW w:w="90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3"/>
              </w:rPr>
            </w:pPr>
            <w:r>
              <w:rPr>
                <w:rFonts w:ascii="Times New Roman;Times;serif" w:hAnsi="Times New Roman;Times;serif"/>
                <w:b/>
                <w:color w:val="231F20"/>
                <w:sz w:val="13"/>
              </w:rPr>
              <w:t>30, 2026</w:t>
            </w:r>
          </w:p>
        </w:tc>
      </w:tr>
      <w:tr>
        <w:trPr/>
        <w:tc>
          <w:tcPr>
            <w:tcW w:w="676" w:type="dxa"/>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Directors</w:t>
            </w:r>
          </w:p>
        </w:tc>
        <w:tc>
          <w:tcPr>
            <w:tcW w:w="34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66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  ​</w:t>
            </w:r>
          </w:p>
        </w:tc>
      </w:tr>
      <w:tr>
        <w:trPr/>
        <w:tc>
          <w:tcPr>
            <w:tcW w:w="676" w:type="dxa"/>
            <w:tcBorders/>
            <w:vAlign w:val="center"/>
          </w:tcPr>
          <w:p>
            <w:pPr>
              <w:pStyle w:val="TableContents"/>
              <w:pBdr/>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Dr. Han</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October 29, 2022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Vested upon the</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22,662,519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22,662,519</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July 26, 2024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3.89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listing 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4,933,001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4,933,001</w:t>
            </w:r>
          </w:p>
        </w:tc>
      </w:tr>
      <w:tr>
        <w:trPr/>
        <w:tc>
          <w:tcPr>
            <w:tcW w:w="676" w:type="dxa"/>
            <w:tcBorders/>
            <w:vAlign w:val="center"/>
          </w:tcPr>
          <w:p>
            <w:pPr>
              <w:pStyle w:val="TableContents"/>
              <w:pBdr/>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Dr. Li</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October 29, 2022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Nasdaq or</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7,554,173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7,554,173</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July 26, 2024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3.89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the Stock Exchange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2,959,801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2,959,801</w:t>
            </w:r>
          </w:p>
        </w:tc>
      </w:tr>
      <w:tr>
        <w:trPr/>
        <w:tc>
          <w:tcPr>
            <w:tcW w:w="676" w:type="dxa"/>
            <w:tcBorders/>
            <w:vAlign w:val="center"/>
          </w:tcPr>
          <w:p>
            <w:pPr>
              <w:pStyle w:val="TableContents"/>
              <w:pBdr/>
              <w:bidi w:val="0"/>
              <w:spacing w:before="0" w:after="0"/>
              <w:ind w:left="0" w:right="0" w:hanging="0"/>
              <w:jc w:val="left"/>
              <w:rPr/>
            </w:pPr>
            <w:r>
              <w:rPr>
                <w:rFonts w:ascii="Times New Roman;Times;serif" w:hAnsi="Times New Roman;Times;serif"/>
                <w:color w:val="231F20"/>
                <w:sz w:val="13"/>
              </w:rPr>
              <w:t>Mr. David Zhang (</w:t>
            </w:r>
            <w:r>
              <w:rPr>
                <w:rFonts w:eastAsia="MHeiHK-Light"/>
                <w:color w:val="231F20"/>
                <w:sz w:val="13"/>
              </w:rPr>
              <w:t>張彤</w:t>
            </w:r>
            <w:r>
              <w:rPr>
                <w:rFonts w:ascii="Times New Roman;Times;serif" w:hAnsi="Times New Roman;Times;serif"/>
                <w:color w:val="231F20"/>
                <w:sz w:val="13"/>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March 12, 2025</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One year from</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81,966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81,966</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date of grant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85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901"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6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6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85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01" w:type="dxa"/>
            <w:tcBorders/>
            <w:vAlign w:val="center"/>
          </w:tcPr>
          <w:p>
            <w:pPr>
              <w:pStyle w:val="TableContents"/>
              <w:bidi w:val="0"/>
              <w:spacing w:before="0" w:after="0"/>
              <w:ind w:left="0" w:right="0" w:hanging="0"/>
              <w:jc w:val="right"/>
              <w:rPr>
                <w:color w:val="231F20"/>
              </w:rPr>
            </w:pPr>
            <w:r>
              <w:rPr>
                <w:color w:val="231F20"/>
              </w:rPr>
              <w:t>​</w:t>
            </w:r>
          </w:p>
        </w:tc>
      </w:tr>
      <w:tr>
        <w:trPr/>
        <w:tc>
          <w:tcPr>
            <w:tcW w:w="10414" w:type="dxa"/>
            <w:gridSpan w:val="19"/>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Participant with options and awards granted and to be granted in excess of the 1% individual limit</w:t>
            </w:r>
          </w:p>
        </w:tc>
      </w:tr>
      <w:tr>
        <w:trPr/>
        <w:tc>
          <w:tcPr>
            <w:tcW w:w="676" w:type="dxa"/>
            <w:tcBorders/>
            <w:vAlign w:val="center"/>
          </w:tcPr>
          <w:p>
            <w:pPr>
              <w:pStyle w:val="TableContents"/>
              <w:pBdr/>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Ms. Jennifer Xuan Li</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February 5, 2021</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0.46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Vested upon the</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4,526,170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4,526,170</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October 25, 2021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0.55</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listing on</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150,000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150,000</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May 24, 2022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1.03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Nasdaq or four</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2,710,000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2,710,000</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October 29, 2022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years from date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3,777,087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3,777,087</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July 26, 2024</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of grant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986,600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06"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986,600</w:t>
            </w:r>
          </w:p>
        </w:tc>
      </w:tr>
      <w:tr>
        <w:trPr/>
        <w:tc>
          <w:tcPr>
            <w:tcW w:w="67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6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85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901" w:type="dxa"/>
            <w:tcBorders/>
            <w:shd w:fill="CCEEFF" w:val="clear"/>
            <w:vAlign w:val="center"/>
          </w:tcPr>
          <w:p>
            <w:pPr>
              <w:pStyle w:val="TableContents"/>
              <w:bidi w:val="0"/>
              <w:spacing w:before="0" w:after="0"/>
              <w:ind w:left="0" w:right="0" w:hanging="0"/>
              <w:jc w:val="right"/>
              <w:rPr>
                <w:color w:val="231F20"/>
              </w:rPr>
            </w:pPr>
            <w:r>
              <w:rPr>
                <w:color w:val="231F20"/>
              </w:rPr>
              <w:t>​</w:t>
            </w:r>
          </w:p>
        </w:tc>
      </w:tr>
      <w:tr>
        <w:trPr/>
        <w:tc>
          <w:tcPr>
            <w:tcW w:w="10414" w:type="dxa"/>
            <w:gridSpan w:val="19"/>
            <w:tcBorders/>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Service provider with options granted and to be granted in any 12-month period exceeding 0.1% of the relevant class of Shares in issue (excluding treasury Shares)</w:t>
            </w:r>
          </w:p>
        </w:tc>
      </w:tr>
      <w:tr>
        <w:trPr/>
        <w:tc>
          <w:tcPr>
            <w:tcW w:w="676"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Mr. Ming Zeng</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October 29, 2022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1.24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Four years from</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1,500,000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3"/>
              </w:rPr>
            </w:pPr>
            <w:r>
              <w:rPr>
                <w:rFonts w:ascii="Times New Roman;Times;serif" w:hAnsi="Times New Roman;Times;serif"/>
                <w:color w:val="231F20"/>
                <w:sz w:val="13"/>
              </w:rPr>
              <w:t>1,500,000</w:t>
            </w:r>
          </w:p>
        </w:tc>
      </w:tr>
      <w:tr>
        <w:trPr/>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1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6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61" w:type="dxa"/>
            <w:tcBorders/>
            <w:vAlign w:val="center"/>
          </w:tcPr>
          <w:p>
            <w:pPr>
              <w:pStyle w:val="TableContents"/>
              <w:bidi w:val="0"/>
              <w:spacing w:before="0" w:after="0"/>
              <w:ind w:left="0" w:right="0" w:hanging="0"/>
              <w:jc w:val="left"/>
              <w:rPr>
                <w:rFonts w:ascii="Times New Roman;Times;serif" w:hAnsi="Times New Roman;Times;serif"/>
                <w:color w:val="231F20"/>
                <w:sz w:val="13"/>
              </w:rPr>
            </w:pPr>
            <w:r>
              <w:rPr>
                <w:rFonts w:ascii="Times New Roman;Times;serif" w:hAnsi="Times New Roman;Times;serif"/>
                <w:color w:val="231F20"/>
                <w:sz w:val="13"/>
              </w:rPr>
              <w:t>date of grant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w:t>
            </w:r>
          </w:p>
        </w:tc>
      </w:tr>
      <w:tr>
        <w:trPr/>
        <w:tc>
          <w:tcPr>
            <w:tcW w:w="676" w:type="dxa"/>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3"/>
              </w:rPr>
            </w:pPr>
            <w:r>
              <w:rPr>
                <w:rFonts w:ascii="Times New Roman;Times;serif" w:hAnsi="Times New Roman;Times;serif"/>
                <w:b/>
                <w:color w:val="231F20"/>
                <w:sz w:val="13"/>
              </w:rPr>
              <w:t>Subtotal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61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6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13"/>
              </w:rPr>
            </w:pPr>
            <w:r>
              <w:rPr>
                <w:rFonts w:ascii="Times New Roman;Times;serif" w:hAnsi="Times New Roman;Times;serif"/>
                <w:b/>
                <w:color w:val="231F20"/>
                <w:sz w:val="13"/>
              </w:rPr>
              <w:t>51,841,317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 </w:t>
            </w:r>
          </w:p>
        </w:tc>
        <w:tc>
          <w:tcPr>
            <w:tcW w:w="70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01" w:type="dxa"/>
            <w:tcBorders/>
            <w:shd w:fill="CCEEFF" w:val="clear"/>
            <w:vAlign w:val="center"/>
          </w:tcPr>
          <w:p>
            <w:pPr>
              <w:pStyle w:val="TableContents"/>
              <w:bidi w:val="0"/>
              <w:spacing w:before="0" w:after="0"/>
              <w:ind w:left="0" w:right="45" w:hanging="0"/>
              <w:jc w:val="right"/>
              <w:rPr>
                <w:rFonts w:ascii="Times New Roman;Times;serif" w:hAnsi="Times New Roman;Times;serif"/>
                <w:b/>
                <w:color w:val="231F20"/>
                <w:sz w:val="13"/>
              </w:rPr>
            </w:pPr>
            <w:r>
              <w:rPr>
                <w:rFonts w:ascii="Times New Roman;Times;serif" w:hAnsi="Times New Roman;Times;serif"/>
                <w:b/>
                <w:color w:val="231F20"/>
                <w:sz w:val="13"/>
              </w:rPr>
              <w:t>51,841,317</w:t>
            </w:r>
          </w:p>
        </w:tc>
      </w:tr>
    </w:tbl>
    <w:p>
      <w:pPr>
        <w:pStyle w:val="TextBody"/>
        <w:bidi w:val="0"/>
        <w:spacing w:before="0" w:after="0"/>
        <w:ind w:left="0" w:right="0" w:hanging="0"/>
        <w:jc w:val="left"/>
        <w:rPr/>
      </w:pPr>
      <w:r>
        <w:rPr/>
        <w:t>​</w:t>
      </w:r>
    </w:p>
    <w:tbl>
      <w:tblPr>
        <w:tblW w:w="11614" w:type="dxa"/>
        <w:jc w:val="left"/>
        <w:tblInd w:w="0" w:type="dxa"/>
        <w:tblLayout w:type="fixed"/>
        <w:tblCellMar>
          <w:top w:w="0" w:type="dxa"/>
          <w:left w:w="0" w:type="dxa"/>
          <w:bottom w:w="0" w:type="dxa"/>
          <w:right w:w="0" w:type="dxa"/>
        </w:tblCellMar>
      </w:tblPr>
      <w:tblGrid>
        <w:gridCol w:w="736"/>
        <w:gridCol w:w="346"/>
        <w:gridCol w:w="1231"/>
        <w:gridCol w:w="346"/>
        <w:gridCol w:w="796"/>
        <w:gridCol w:w="346"/>
        <w:gridCol w:w="1156"/>
        <w:gridCol w:w="346"/>
        <w:gridCol w:w="856"/>
        <w:gridCol w:w="346"/>
        <w:gridCol w:w="706"/>
        <w:gridCol w:w="346"/>
        <w:gridCol w:w="706"/>
        <w:gridCol w:w="346"/>
        <w:gridCol w:w="706"/>
        <w:gridCol w:w="346"/>
        <w:gridCol w:w="706"/>
        <w:gridCol w:w="346"/>
        <w:gridCol w:w="90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7360" cy="175260"/>
                      <wp:effectExtent l="0" t="0" r="0" b="0"/>
                      <wp:wrapNone/>
                      <wp:docPr id="64" name="Frame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81685" cy="175260"/>
                      <wp:effectExtent l="0" t="0" r="0" b="0"/>
                      <wp:wrapNone/>
                      <wp:docPr id="66" name="Frame6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5460" cy="175260"/>
                      <wp:effectExtent l="0" t="0" r="0" b="0"/>
                      <wp:wrapNone/>
                      <wp:docPr id="68" name="Frame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34060" cy="175260"/>
                      <wp:effectExtent l="0" t="0" r="0" b="0"/>
                      <wp:wrapNone/>
                      <wp:docPr id="70" name="Frame7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43560" cy="175260"/>
                      <wp:effectExtent l="0" t="0" r="0" b="0"/>
                      <wp:wrapNone/>
                      <wp:docPr id="72" name="Frame7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8310" cy="175260"/>
                      <wp:effectExtent l="0" t="0" r="0" b="0"/>
                      <wp:wrapNone/>
                      <wp:docPr id="74" name="Frame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48310" cy="175260"/>
                      <wp:effectExtent l="0" t="0" r="0" b="0"/>
                      <wp:wrapNone/>
                      <wp:docPr id="76" name="Frame7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48310" cy="175260"/>
                      <wp:effectExtent l="0" t="0" r="0" b="0"/>
                      <wp:wrapNone/>
                      <wp:docPr id="78" name="Frame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48310" cy="175260"/>
                      <wp:effectExtent l="0" t="0" r="0" b="0"/>
                      <wp:wrapNone/>
                      <wp:docPr id="80" name="Frame8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2135" cy="175260"/>
                      <wp:effectExtent l="0" t="0" r="0" b="0"/>
                      <wp:wrapNone/>
                      <wp:docPr id="82" name="Frame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Exercise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price per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Class A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Ordinary</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0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 of Class A Ordinary Shares underlying the relevant share options</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underlying</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Outstanding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Exercised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Cancelled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Lapsed</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Outstanding</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the share</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 of</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 of</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Category or name</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Date of</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options</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January</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Reporting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Reporting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Reporting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Reporting</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June</w:t>
            </w:r>
          </w:p>
        </w:tc>
      </w:tr>
      <w:tr>
        <w:trPr/>
        <w:tc>
          <w:tcPr>
            <w:tcW w:w="73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of grantee</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(US$)</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1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Vesting period</w:t>
            </w:r>
            <w:r>
              <w:rPr>
                <w:rFonts w:ascii="Times New Roman;Times;serif" w:hAnsi="Times New Roman;Times;serif"/>
                <w:b/>
                <w:sz w:val="10"/>
              </w:rPr>
              <w:t>(1)</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1, 2026</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30, 2026</w:t>
            </w:r>
          </w:p>
        </w:tc>
      </w:tr>
      <w:tr>
        <w:trPr/>
        <w:tc>
          <w:tcPr>
            <w:tcW w:w="7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Other employees of the Group in aggregate</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13"/>
              </w:rPr>
            </w:pPr>
            <w:r>
              <w:rPr>
                <w:rFonts w:ascii="Times New Roman;Times;serif" w:hAnsi="Times New Roman;Times;serif"/>
                <w:sz w:val="13"/>
              </w:rPr>
              <w:t>493 Grantees</w:t>
            </w:r>
          </w:p>
        </w:tc>
        <w:tc>
          <w:tcPr>
            <w:tcW w:w="346" w:type="dxa"/>
            <w:tcBorders/>
            <w:vAlign w:val="center"/>
          </w:tcPr>
          <w:p>
            <w:pPr>
              <w:pStyle w:val="TableContents"/>
              <w:bidi w:val="0"/>
              <w:spacing w:before="0" w:after="0"/>
              <w:ind w:left="0" w:right="0" w:hanging="0"/>
              <w:jc w:val="center"/>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May 30, 2019</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0.46 to 3.89</w:t>
            </w:r>
          </w:p>
        </w:tc>
        <w:tc>
          <w:tcPr>
            <w:tcW w:w="346" w:type="dxa"/>
            <w:tcBorders/>
            <w:vAlign w:val="center"/>
          </w:tcPr>
          <w:p>
            <w:pPr>
              <w:pStyle w:val="TableContents"/>
              <w:bidi w:val="0"/>
              <w:spacing w:before="0" w:after="0"/>
              <w:ind w:left="0" w:right="0" w:hanging="0"/>
              <w:jc w:val="center"/>
              <w:rPr/>
            </w:pPr>
            <w:r>
              <w:rPr/>
              <w:t>  ​ ​ ​</w:t>
            </w:r>
          </w:p>
        </w:tc>
        <w:tc>
          <w:tcPr>
            <w:tcW w:w="115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Vested upon grant,</w:t>
            </w:r>
          </w:p>
        </w:tc>
        <w:tc>
          <w:tcPr>
            <w:tcW w:w="346" w:type="dxa"/>
            <w:tcBorders/>
            <w:vAlign w:val="center"/>
          </w:tcPr>
          <w:p>
            <w:pPr>
              <w:pStyle w:val="TableContents"/>
              <w:bidi w:val="0"/>
              <w:spacing w:before="0" w:after="0"/>
              <w:ind w:left="0" w:right="0" w:hanging="0"/>
              <w:jc w:val="center"/>
              <w:rPr/>
            </w:pPr>
            <w:r>
              <w:rPr/>
              <w:t>  ​ ​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91,668</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19,668</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72,000</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November 14, 2019</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or upon the</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624,837</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150,993</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473,844</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February 11, 2020</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listing on Nasdaq</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1,120,953</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177,534</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943,419</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May 22, 2020</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or four years</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1,816,569</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336,894</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1,479,675</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September 23, 2020</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from date of</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1,129,155</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199,296</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929,859</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February 5, 2021</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grant</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283,593</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19,800</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263,793</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October 25, 2021</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12,206,169</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892,464</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11,313,705</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January 6, 2022</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2,715,237</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212,394</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2,502,843</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May 24, 2022</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3,155,766</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423,357</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11,760</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2,720,649</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October 29, 2022</w:t>
            </w:r>
          </w:p>
        </w:tc>
        <w:tc>
          <w:tcPr>
            <w:tcW w:w="34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9,245,370</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696,045</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50,601</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8,498,724</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December 6, 2023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6,152,535</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517,023</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163,323</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5,472,189</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June 28, 2024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3,884,052</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204,843</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276,390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3,402,819</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July 26, 2024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986,598</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986,598</w:t>
            </w:r>
          </w:p>
        </w:tc>
      </w:tr>
      <w:tr>
        <w:trPr/>
        <w:tc>
          <w:tcPr>
            <w:tcW w:w="7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95,253,819</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3,850,311</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502,074</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3"/>
              </w:rPr>
            </w:pPr>
            <w:r>
              <w:rPr>
                <w:rFonts w:ascii="Times New Roman;Times;serif" w:hAnsi="Times New Roman;Times;serif"/>
                <w:b/>
                <w:sz w:val="13"/>
              </w:rPr>
              <w:t>90,901,434</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Notes:</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vesting period applicable to each tranche of share options is as set out in the table above. No share option has a term exceeding ten years from the relevant date of grant. In the case of ISOs granted to participants holding more than 10% of the total combined voting power of all classes of outstanding Shares of the Company, the share option term shall not exceed five years from the relevant date of grant.</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Class A Ordinary Share figures shown in the table above have been converted from ADS figures on the basis that each ADS represents three Class A Ordinary Shares. Each movement figure, including the number of Class A Ordinary Shares underlying the share options granted, exercised, cancelled and lapsed, has been derived by dividing the relevant ADS figure by three. Where the relevant ADS figure is not exactly divisible by three, the resulting number has been rounded down to the nearest whole Class A Ordinary Share.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weighted average closing price of the Class A Ordinary Shares on the business day immediately before the dates on which share options were exercised during the Reporting Period was HK$18.98. The weighted average closing price of the ADSs on the business day immediately before the dates on which share options were exercised during the Reporting Period was US$7.21.</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awards granted under the 2018 Share Plan were originally denominated in ADSs and converted into Class A Ordinary Shares for Hong Kong disclosure purposes. Minor discrepancies between the number of ADSs disclosed in the Company’s SEC filings and Hong Kong reports may arise due to rounding during the conversion process.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granted further share awards under the 2018 Share Plan after the Listing Date. Details of the movements of share awards granted under the 2018 Share Plan during the Reporting Period are as follows:</w:t>
      </w:r>
    </w:p>
    <w:tbl>
      <w:tblPr>
        <w:tblW w:w="10517" w:type="dxa"/>
        <w:jc w:val="left"/>
        <w:tblInd w:w="0" w:type="dxa"/>
        <w:tblLayout w:type="fixed"/>
        <w:tblCellMar>
          <w:top w:w="0" w:type="dxa"/>
          <w:left w:w="0" w:type="dxa"/>
          <w:bottom w:w="0" w:type="dxa"/>
          <w:right w:w="0" w:type="dxa"/>
        </w:tblCellMar>
      </w:tblPr>
      <w:tblGrid>
        <w:gridCol w:w="736"/>
        <w:gridCol w:w="346"/>
        <w:gridCol w:w="1231"/>
        <w:gridCol w:w="346"/>
        <w:gridCol w:w="1111"/>
        <w:gridCol w:w="346"/>
        <w:gridCol w:w="871"/>
        <w:gridCol w:w="286"/>
        <w:gridCol w:w="751"/>
        <w:gridCol w:w="346"/>
        <w:gridCol w:w="751"/>
        <w:gridCol w:w="346"/>
        <w:gridCol w:w="751"/>
        <w:gridCol w:w="346"/>
        <w:gridCol w:w="751"/>
        <w:gridCol w:w="346"/>
        <w:gridCol w:w="856"/>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67360" cy="175260"/>
                      <wp:effectExtent l="0" t="0" r="0" b="0"/>
                      <wp:wrapNone/>
                      <wp:docPr id="83" name="Frame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81685" cy="175260"/>
                      <wp:effectExtent l="0" t="0" r="0" b="0"/>
                      <wp:wrapNone/>
                      <wp:docPr id="85" name="Frame8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05485" cy="175260"/>
                      <wp:effectExtent l="0" t="0" r="0" b="0"/>
                      <wp:wrapNone/>
                      <wp:docPr id="87" name="Frame8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53085" cy="175260"/>
                      <wp:effectExtent l="0" t="0" r="0" b="0"/>
                      <wp:wrapNone/>
                      <wp:docPr id="89" name="Frame8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1610" cy="175260"/>
                      <wp:effectExtent l="0" t="0" r="0" b="0"/>
                      <wp:wrapNone/>
                      <wp:docPr id="90" name="Frame9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76885" cy="175260"/>
                      <wp:effectExtent l="0" t="0" r="0" b="0"/>
                      <wp:wrapNone/>
                      <wp:docPr id="91" name="Frame9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76885" cy="175260"/>
                      <wp:effectExtent l="0" t="0" r="0" b="0"/>
                      <wp:wrapNone/>
                      <wp:docPr id="93" name="Frame9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76885" cy="175260"/>
                      <wp:effectExtent l="0" t="0" r="0" b="0"/>
                      <wp:wrapNone/>
                      <wp:docPr id="95" name="Frame9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76885" cy="175260"/>
                      <wp:effectExtent l="0" t="0" r="0" b="0"/>
                      <wp:wrapNone/>
                      <wp:docPr id="97" name="Frame9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43560" cy="175260"/>
                      <wp:effectExtent l="0" t="0" r="0" b="0"/>
                      <wp:wrapNone/>
                      <wp:docPr id="99" name="Frame9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519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 Class A Ordinary Shares underlying the relevant share awards</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Granted </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Vested </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Cancelled</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Lapsed </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Unvested </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Unvested as </w:t>
            </w:r>
          </w:p>
        </w:tc>
        <w:tc>
          <w:tcPr>
            <w:tcW w:w="28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during the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during the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during the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during the </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Vesting</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of January 1, </w:t>
            </w:r>
          </w:p>
        </w:tc>
        <w:tc>
          <w:tcPr>
            <w:tcW w:w="28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Reporting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Reporting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Reporting </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Reporting </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w:t>
            </w:r>
          </w:p>
        </w:tc>
      </w:tr>
      <w:tr>
        <w:trPr/>
        <w:tc>
          <w:tcPr>
            <w:tcW w:w="73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Category or name of grantee</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Date of grant</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0"/>
              <w:ind w:left="0" w:right="0" w:hanging="0"/>
              <w:jc w:val="left"/>
              <w:rPr>
                <w:color w:val="231F20"/>
              </w:rPr>
            </w:pPr>
            <w:r>
              <w:rPr>
                <w:color w:val="231F20"/>
              </w:rPr>
              <w:t>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30, 2026</w:t>
            </w:r>
          </w:p>
        </w:tc>
      </w:tr>
      <w:tr>
        <w:trPr/>
        <w:tc>
          <w:tcPr>
            <w:tcW w:w="7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Other employees of the Group in aggregate</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3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453 Awardees</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November 14, 2024</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Four or five years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5,340,486</w:t>
            </w:r>
          </w:p>
        </w:tc>
        <w:tc>
          <w:tcPr>
            <w:tcW w:w="28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508,608</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4,831,878</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January 18, 2025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from date of</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3,716,928</w:t>
            </w:r>
          </w:p>
        </w:tc>
        <w:tc>
          <w:tcPr>
            <w:tcW w:w="28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421,011</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192,096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3,103,821</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April 16, 2025</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grant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4,746,756</w:t>
            </w:r>
          </w:p>
        </w:tc>
        <w:tc>
          <w:tcPr>
            <w:tcW w:w="28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736,026</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304,713</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3,706,017</w:t>
            </w:r>
          </w:p>
        </w:tc>
      </w:tr>
      <w:tr>
        <w:trPr/>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August 5, 2025</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3,604,206</w:t>
            </w:r>
          </w:p>
        </w:tc>
        <w:tc>
          <w:tcPr>
            <w:tcW w:w="28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264,126</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639,768</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2,700,312</w:t>
            </w:r>
          </w:p>
        </w:tc>
      </w:tr>
      <w:tr>
        <w:trPr/>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October 25, 2025</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5,155,425</w:t>
            </w:r>
          </w:p>
        </w:tc>
        <w:tc>
          <w:tcPr>
            <w:tcW w:w="28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1,365</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401,997</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4,752,063</w:t>
            </w:r>
          </w:p>
        </w:tc>
      </w:tr>
      <w:tr>
        <w:trPr/>
        <w:tc>
          <w:tcPr>
            <w:tcW w:w="7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22,563,801</w:t>
            </w:r>
          </w:p>
        </w:tc>
        <w:tc>
          <w:tcPr>
            <w:tcW w:w="28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1,931,136</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1,538,574</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19,094,091</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Notes:</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Class A Ordinary Share figures shown in the table above have been converted from ADS figures on the basis that each ADS represents three Class A Ordinary Shares. Each movement figure, including the number of Class A Ordinary Shares underlying the share awards granted, vested, cancelled, and lapsed, has been derived by dividing the relevant ADS figure by three. Where the relevant ADS figure is not exactly divisible by three, the resulting number has been rounded down to the nearest whole Class A Ordinary Share.</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weighted average closing price of the Class A Ordinary Shares on the business day immediately before the dates on which share awards were vested during the Reporting Period was HK$20.29. The weighted average closing price of the ADSs on the business day immediately before the dates on which share awards were vested during the Reporting Period was US$7.71.</w:t>
            </w:r>
          </w:p>
        </w:tc>
      </w:tr>
    </w:tbl>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No further share options or share awards may be granted under the 2018 Share Plan as of January 1 and June 30, 2026.</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sz w:val="20"/>
        </w:rPr>
        <w:t>2026 Share Plan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Company adopted the 2026 Share Plan on March 13, 2026. The principal terms of the 2026 Share Plan are as described below.</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Purpose</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purpose of the 2026 Share Plan is to attract, incentivize and retain employees, Directors and consultants through the grant of awards (the “</w:t>
      </w:r>
      <w:r>
        <w:rPr>
          <w:rFonts w:ascii="Times New Roman;Times;serif" w:hAnsi="Times New Roman;Times;serif"/>
          <w:b/>
          <w:sz w:val="20"/>
        </w:rPr>
        <w:t>Awards</w:t>
      </w:r>
      <w:r>
        <w:rPr>
          <w:rFonts w:ascii="Times New Roman;Times;serif" w:hAnsi="Times New Roman;Times;serif"/>
          <w:sz w:val="20"/>
        </w:rPr>
        <w:t>,” and each an “</w:t>
      </w:r>
      <w:r>
        <w:rPr>
          <w:rFonts w:ascii="Times New Roman;Times;serif" w:hAnsi="Times New Roman;Times;serif"/>
          <w:b/>
          <w:sz w:val="20"/>
        </w:rPr>
        <w:t>Award</w:t>
      </w:r>
      <w:r>
        <w:rPr>
          <w:rFonts w:ascii="Times New Roman;Times;serif" w:hAnsi="Times New Roman;Times;serif"/>
          <w:sz w:val="20"/>
        </w:rPr>
        <w:t>”). The 2026 Share Plan provides for the grant of options (“</w:t>
      </w:r>
      <w:r>
        <w:rPr>
          <w:rFonts w:ascii="Times New Roman;Times;serif" w:hAnsi="Times New Roman;Times;serif"/>
          <w:b/>
          <w:sz w:val="20"/>
        </w:rPr>
        <w:t>Options</w:t>
      </w:r>
      <w:r>
        <w:rPr>
          <w:rFonts w:ascii="Times New Roman;Times;serif" w:hAnsi="Times New Roman;Times;serif"/>
          <w:sz w:val="20"/>
        </w:rPr>
        <w:t>”) to purchase Class A Ordinary Shares and the grant of restricted share units (“</w:t>
      </w:r>
      <w:r>
        <w:rPr>
          <w:rFonts w:ascii="Times New Roman;Times;serif" w:hAnsi="Times New Roman;Times;serif"/>
          <w:b/>
          <w:sz w:val="20"/>
        </w:rPr>
        <w:t>Restricted Share Units</w:t>
      </w:r>
      <w:r>
        <w:rPr>
          <w:rFonts w:ascii="Times New Roman;Times;serif" w:hAnsi="Times New Roman;Times;serif"/>
          <w:sz w:val="20"/>
        </w:rPr>
        <w:t>”) to acquire Class A Ordinary Shares. The underlying Class A Ordinary Shares offered under the 2026 Share Plan may be funded by new Class A Ordinary Shares or treasury Shares.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Eligibility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Employees, Directors and consultants shall be eligible for the grant of Awards under the 2026 Share Plan.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eligibility of consultants shall be determined by the Administrator, in its sole discretion, taking into account their potential and/or actual contribution to the success and growth of the Group, the specific skills or technical knowledge possessed by the consultants and the importance to the Group to retain their services. In particular, the Administrator may, through the grant of Awards, provide incentive to and reward consultants based on (i) their participation and involvement in promoting the business of the Group; (ii) their provision of quality services as well as timely market intelligence to the Group; and (iii) whether they will contribute to the short, medium or long-term business development of the Group.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Administration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or a sub-committee or delegate to whom the Compensation Committee has delegated its power (the “</w:t>
      </w:r>
      <w:r>
        <w:rPr>
          <w:rFonts w:ascii="Times New Roman;Times;serif" w:hAnsi="Times New Roman;Times;serif"/>
          <w:b/>
          <w:sz w:val="20"/>
        </w:rPr>
        <w:t>Administrator</w:t>
      </w:r>
      <w:r>
        <w:rPr>
          <w:rFonts w:ascii="Times New Roman;Times;serif" w:hAnsi="Times New Roman;Times;serif"/>
          <w:sz w:val="20"/>
        </w:rPr>
        <w:t>”) will administer the 2026 Share Plan. Subject to the provisions of the 2026 Share Plan and applicable laws and regulations (including the Listing Rules), the Administrator shall have full authority and discretion to take any actions it deems necessary or advisable for the administration of the 2026 Share Plan. The Administrator’s interpretation of the 2026 Share Plan, any Awards granted pursuant to the 2026 Share Plan and any award agreement, and all decisions, determinations and interpretations of the Administrator shall be final, binding and conclusive for all purposes and upon all holders of outstanding Awards (the “</w:t>
      </w:r>
      <w:r>
        <w:rPr>
          <w:rFonts w:ascii="Times New Roman;Times;serif" w:hAnsi="Times New Roman;Times;serif"/>
          <w:b/>
          <w:sz w:val="20"/>
        </w:rPr>
        <w:t>Participants</w:t>
      </w:r>
      <w:r>
        <w:rPr>
          <w:rFonts w:ascii="Times New Roman;Times;serif" w:hAnsi="Times New Roman;Times;serif"/>
          <w:sz w:val="20"/>
        </w:rPr>
        <w:t>,” and each a “</w:t>
      </w:r>
      <w:r>
        <w:rPr>
          <w:rFonts w:ascii="Times New Roman;Times;serif" w:hAnsi="Times New Roman;Times;serif"/>
          <w:b/>
          <w:sz w:val="20"/>
        </w:rPr>
        <w:t>Participant</w:t>
      </w:r>
      <w:r>
        <w:rPr>
          <w:rFonts w:ascii="Times New Roman;Times;serif" w:hAnsi="Times New Roman;Times;serif"/>
          <w:sz w:val="20"/>
        </w:rPr>
        <w:t>”) and all persons deriving their rights from a Participant.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Plan Limit and Consultant Sub-limit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maximum number of Class A Ordinary Shares (including treasury Shares) that may be issued or transferred under the 2026 Share Plan shall not exceed 10% of the total issued and outstanding Shares (excluding treasury Shares) of the Company as of the date of Shareholders’ approval of the 2026 Share Plan, being 102,732,246 Class A Ordinary Shares (the “</w:t>
      </w:r>
      <w:r>
        <w:rPr>
          <w:rFonts w:ascii="Times New Roman;Times;serif" w:hAnsi="Times New Roman;Times;serif"/>
          <w:b/>
          <w:sz w:val="20"/>
        </w:rPr>
        <w:t>Plan Limit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Out of the Plan Limit, the maximum number of Class A Ordinary Shares that may be issued or transferred to consultants shall not exceed 1% of the total issued and outstanding Shares (excluding treasury Shares) of the Company as of the date of Shareholders’ approval of the 2026 Share Plan, being 10,273,224 Class A Ordinary Shares (the “</w:t>
      </w:r>
      <w:r>
        <w:rPr>
          <w:rFonts w:ascii="Times New Roman;Times;serif" w:hAnsi="Times New Roman;Times;serif"/>
          <w:b/>
          <w:sz w:val="20"/>
        </w:rPr>
        <w:t>Consultant Sub-limit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Both the Plan Limit and the Consultant Sub-limit are subject to equitable adjustment in the event of any share subdivision, consolidation, reclassification or similar corporate transaction, such that the percentage of issued Shares represented by each limit shall be the same before and after such transaction. The Company may refresh or grant Awards beyond the Plan Limit and the Consultant Sub-limit as permitted and subject to the requirements under the applicable laws (including the Listing Rules). Any refreshment of the Plan Limit and/or the Consultant Sub-limit shall require the approval of the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outstanding Option or Restricted Share Unit for any reason expires or lapses, the underlying Class A Ordinary Shares allocable to the unexercised or unsettled portion of such Option or Restricted Share Unit shall remain available for issuance or transfer under the 2026 Share Plan. For the avoidance of doubt, Options or Restricted Share Units that are lapsed in accordance with the terms of the 2026 Share Plan will not be regarded as utilized for the purpose of calculating the Plan Limit and the Consultant Sub-limit, but Options or Restricted Share Units that are cancelled will be regarded as utilized for such calculations.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anything to the contrary contained in the 2026 Share Plan, in no event shall any of the following Class A Ordinary Shares again become available for other Awards under the 2026 Share Plan: (i) Class A Ordinary Shares tendered or withheld on the exercise of Options or other Awards for the payment of the exercise price thereof, as applicable; (ii) Class A Ordinary Shares tendered by a Participant or withheld by the Company to satisfy withholding taxes in connection with the exercise of Options or in settlement of any other Award; and (iii) Class A Ordinary Shares purchased on the open market with cash proceeds from the exercise of Options.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Grant of Award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any grant of Awards to a Participant would result in the Class A Ordinary Shares issued and to be issued in respect of all options and awards granted to such Participant (excluding any awards lapsed in accordance with the terms of the share plan(s) or award agreement(s)) in the 12-month period up to and including the date of such grant representing in aggregate over 1% of the total number of Shares in issue (excluding treasury Shares), such grant must be separately approved by Shareholders in general meeting, with such Participant and his or her close associates (or associates if the Participant is a connected person) abstaining from voting.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grant of Awards to a Director, chief executive or substantial Shareholder of the Company, or any of their respective associates, must be approved by the independent non-executive Directors (excluding any independent non-executive Director who is the grantee of the Awards). The Corporate Governance Committee must make a recommendation on any grant of Awards to a Director who is a WVR Beneficiary.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any grant of Awards (excluding grant of Options) to a Director (other than an independent non-executive Director) or chief executive of the Company, or any of their associates would result in the Class A Ordinary Shares issued and to be issued in respect of all options and awards granted (excluding any awards lapsed in accordance with the terms of the share plan(s) or award agreement(s)) to such Participant in the 12-month period up to and including the date of such grant representing in aggregate over 0.1% of the total number of Shares in issue (excluding treasury Shares), such further grant of Awards must be approved by Shareholders in general meeting, with such Participant and his or her associates abstaining from voting in favor at such general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Where any grant of Awards to an independent non-executive Director or a substantial Shareholder of the Company, or any of their respective associates, would result in the Class A Ordinary Shares issued and to be issued in respect of all awards granted (excluding any Awards lapsed in accordance with the terms of the share plan(s) or award agreement(s)) to such Participant in the 12-month period up to and including the date of such grant representing in aggregate over 0.1% of the total number of Shares in issue (excluding treasury Shares), such further grant of Awards must be approved by Shareholders in general meeting, with such Participant and his or her associates abstaining from voting in favor at such general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not grant any Awards:</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after any inside information has come to its knowledge until (and including) the trading day after it has announced the information;</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period commencing 30 days immediately before the earlier of: (1) the date of the board meeting (as such date is first notified to the Stock Exchange under the Listing Rules) for approving the Company’s results for any year, half-year, quarterly or any other interim period (whether or not required under the Listing Rules); and (2) the deadline for the Company to announce its results for any year or half-year under the Listing Rules, or quarterly or any other interim period (whether or not required under the Listing Rules), and ending on the date of the results announcement; and</w:t>
            </w:r>
          </w:p>
        </w:tc>
      </w:tr>
    </w:tbl>
    <w:tbl>
      <w:tblPr>
        <w:tblW w:w="6917" w:type="dxa"/>
        <w:jc w:val="left"/>
        <w:tblInd w:w="0" w:type="dxa"/>
        <w:tblLayout w:type="fixed"/>
        <w:tblCellMar>
          <w:top w:w="0" w:type="dxa"/>
          <w:left w:w="0" w:type="dxa"/>
          <w:bottom w:w="0" w:type="dxa"/>
          <w:right w:w="0" w:type="dxa"/>
        </w:tblCellMar>
      </w:tblPr>
      <w:tblGrid>
        <w:gridCol w:w="331"/>
        <w:gridCol w:w="6586"/>
      </w:tblGrid>
      <w:tr>
        <w:trPr/>
        <w:tc>
          <w:tcPr>
            <w:tcW w:w="33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w:t>
            </w:r>
          </w:p>
        </w:tc>
        <w:tc>
          <w:tcPr>
            <w:tcW w:w="658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any period of delay in the Company publishing a results announcement.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cash consideration shall be required of the Participant in connection with the grant of Awards.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of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option agreement shall specify the term of Option determined by the Administrator, which shall not exceed 10 years from the date of grant.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Vesting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Administrator shall determine the vesting of Awards at its sole discretion, provided that no Awards granted under the 2026 Share Plan shall vest earlier than the first anniversary of the date of grant. Nevertheless, the Administrator may, at its discretion, determine a shorter period during which Awards may vest upon the grant of the Awards with respect to the following Awards granted to employees:</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substitute awards granted in connection with Awards that are assumed, converted or substituted pursuant to a merger, acquisition or similar transaction entered into by the Company or any of its Subsidiaries; or</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additional Awards the Administrator may grant in respect of (i) sign-on or make-whole grants to new employees; (ii) grants of Awards with performance-based vesting conditions; (iii) grants of Awards that are made in batches for administrative or compliance reasons; (iv) grants of Awards that vest evenly over a period of 12 months or more; (v) grants of Awards with a total vesting and holding period of more than 12 months; and (vi) Awards subject to a minimum holding period of 12 months which are delivered to an employee under his or her compensation arrangements (including the relevant award agreement) with the Group.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Targets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grant of Award under the 2026 Share Plan shall be evidenced by an award agreement between the Participant and the Company setting forth the number of Shares subject to the Award and the terms and conditions of the Award, including any performance target based on various key performance indicators with respect to operations, finance, business and/or other metrics which are designed to motivate and reward contribution to the Group that needs to be achieved before the Award can be vested. Key performance indicators for assessment of performance targets include any one or more of the following corporate-wide or subsidiary, division, operating unit, line of business, project, geographic or individual measures: cash flow; earnings; earnings per share; market value added or economic value added; profits; return on assets; revenue; growth rate; return on equity; return on investment; sales; stock price; total shareholder return; business unit development; or such other goals as the Administrator may determine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whether the performance targets attached to an Award have been satisfied, the Administrator will consider both quantitative and qualitative factors relevant to the nature of the Participant’s role and the Group’s business objectives for the applicable period. Quantitative assessment will generally involve comparing actual performance against the preset key performance indicators (such as revenue growth, operating efficiency metrics, R&amp;D progress milestones, or financial ratios) approved at the time of grant. Qualitative assessment may include evaluating the Participant’s contribution to strategic initiatives, project execution, team leadership, compliance, and other role-specific deliverables. The Administrator will determine whether the performance targets have been met, and the extent to which they have been met, based on a holistic review of the above factors, supported by the Group’s internal management reports, financial records, project status updates and other relevant documentation.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Administrator may, in its sole discretion, amend or adjust the key performance indicators and establish any special rules and conditions to which the key performance indicators shall be subject at any time. For the avoidance of doubt, performance targets are not applicable to Awards (if any) granted to independent non-executive Directors under the 2026 Share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Exercise Price of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option agreement shall specify the exercise price for which one ADS may be purchased upon exercise of an Option, which shall be determined by the Administrator, provided that: (i) the exercise price must be at least the Fair Market Value (as defined below) of the ADS on the date of grant, which must be a Nasdaq trading day; (ii) in no event shall the exercise price be less than the par value of the Class A Ordinary Shares; and (iii) the determination of the Exercise Price shall be subject to compliance with applicable laws and the requirements of any exchange on which the Class A Ordinary Shares or ADSs are listed or traded (including the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of an ISO must be at least 100% of the Fair Market Value of a Class A Ordinary Share on the date of grant, except for an ISO granted pursuant to an assumption of, or substitution for, another ISO in a manner that complies with Section 424(a) of the United States Internal Revenue Code of 1986, as amended (the “</w:t>
      </w:r>
      <w:r>
        <w:rPr>
          <w:rFonts w:ascii="Times New Roman;Times;serif" w:hAnsi="Times New Roman;Times;serif"/>
          <w:b/>
          <w:sz w:val="20"/>
        </w:rPr>
        <w:t>Code</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of an NSO must be at least 100% of the Fair Market Value of a Class A Ordinary Share on the date of grant, except for an NSO granted to a person who is not a U.S. taxpayer on the date of grant, an NSO that is intended either to be exempt from Code Section 409A as a “short-term deferral” or to comply with the requirements of Code Section 409A, or an NSO granted pursuant to an assumption of, or substitution for, another share option in a manner that complies with Code Section 409A.</w:t>
      </w:r>
    </w:p>
    <w:p>
      <w:pPr>
        <w:pStyle w:val="TextBody"/>
        <w:bidi w:val="0"/>
        <w:spacing w:before="0" w:after="240"/>
        <w:ind w:left="0" w:right="0" w:hanging="0"/>
        <w:jc w:val="both"/>
        <w:rPr/>
      </w:pPr>
      <w:r>
        <w:rPr/>
        <w:t>“</w:t>
      </w:r>
      <w:r>
        <w:rPr>
          <w:rFonts w:ascii="Times New Roman;Times;serif" w:hAnsi="Times New Roman;Times;serif"/>
          <w:b/>
          <w:sz w:val="20"/>
        </w:rPr>
        <w:t>Fair Market Value</w:t>
      </w:r>
      <w:r>
        <w:rPr>
          <w:rFonts w:ascii="Times New Roman;Times;serif" w:hAnsi="Times New Roman;Times;serif"/>
          <w:sz w:val="20"/>
        </w:rPr>
        <w:t>” means the fair market value of a Class A Ordinary Share determined as any of the following:</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Class A Ordinary Shares are listed on the Stock Exchange, the Fair Market Value shall be the higher of (i) the closing price of the Class A Ordinary Shares as stated in the Stock Exchange’s daily quotations sheet on the date of determination, which must be a Stock Exchange trading day; and (ii) the average closing price of the Class A Ordinary Shares as stated in the Stock Exchange’s daily quotations sheets for the five business days immediately preceding the date of determination;</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(b)</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depositary receipts representing the Class A Ordinary Shares are listed on Nasdaq, then the Fair Market Value shall be the higher of (i) the closing sales price for such depositary receipts as quoted on the Nasdaq on the date of determination, as reported in Bloomberg or such other source as the Administrator deems reliable unless otherwise prescribed by any applicable laws, which must be a Nasdaq trading day; and (ii) the average closing sales price for such depositary receipts as quoted on the Nasdaq for five trading days immediately preceding the date of determination, and in each case divided by the number of Class A Ordinary Shares that are represented by such depositary receipts;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subject to the prior consent or waiver or agreement of the relevant regulatory authorities, if the Class A Ordinary Shares are listed on one or more established stock exchanges or traded on one or more automated quotation systems other than the Nasdaq or the Stock Exchange, then the Fair Market Value shall be the higher of (i) the closing sales price for such Class A Ordinary Shares as quoted on any such exchange or system on which the Class A Ordinary Shares are listed or traded on the date of determination, as reported in Bloomberg or such other source as the Administrator deems reliable unless otherwise prescribed by any applicable laws, or, if the date of determination is not a trading date, the closing sales price as quoted on such exchange or system on which the Class A Ordinary Shares are listed or traded on the trading date immediately preceding the date of determination, as reported in Bloomberg or such other source as the Administrator deems reliable unless otherwise prescribed by any applicable laws; and (ii) the average closing sales price for such Class A Ordinary Shares as quoted on any such exchange or system on which the Class A Ordinary Shares are listed or traded for five trading days immediately preceding the date of determination; or</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absence of an established market for the Class A Ordinary Shares, the Fair Market Value shall be determined in good faith by the Administrator.</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Rights of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 the Participant is registered as a holder of Class A Ordinary Shares (by entry in the Company’s register of members), no right to vote or receive dividends (or distributions made upon the liquidation of the Company) or any other rights as a Shareholder shall exist with respect to the Class A Ordinary Shares, notwithstanding the vesting of the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Lapse of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Participant’s Options shall automatically lapse in case of termination of service for any reason or death.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Participant’s service terminates for any reason other than the Participant’s death, then the Participant’s Options shall automatically lapse on the earliest of the following dates: (i) the expiration date determined pursuant to the term of the Option; (ii) the date three months after the termination of the Participant’s service for any reason other than disability, or such earlier or later date as the Administrator may determine (but in no event earlier than 30 days after the termination of the Participant’s service); or (iii) the date six months after the termination of the Participant’s service by reason of disability, or such later date as the Administrator may determine.</w:t>
      </w:r>
    </w:p>
    <w:p>
      <w:pPr>
        <w:pStyle w:val="TextBody"/>
        <w:bidi w:val="0"/>
        <w:spacing w:before="0" w:after="240"/>
        <w:ind w:left="0" w:right="0" w:hanging="1"/>
        <w:jc w:val="both"/>
        <w:rPr>
          <w:rFonts w:ascii="Times New Roman;Times;serif" w:hAnsi="Times New Roman;Times;serif"/>
          <w:sz w:val="20"/>
        </w:rPr>
      </w:pPr>
      <w:r>
        <w:rPr>
          <w:rFonts w:ascii="Times New Roman;Times;serif" w:hAnsi="Times New Roman;Times;serif"/>
          <w:sz w:val="20"/>
        </w:rPr>
        <w:t>If a Participant dies while the Participant is in service, then the Participant’s Options shall automatically lapse on the earlier of the following dates: (i) the expiration date determined pursuant to the term of the Option; or (ii) the date 12 months after the Participant’s death, or such earlier or later date as the Administrator may determine (but in no event earlier than six months after the Participant’s death).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Participant’s service terminates for any reason, all Restricted Share Units that are unvested at such time shall automatically lapse for no consideration effective as of the earlier of: (i) the date on which the Participant gives or is provided with written notice of such termination; or (ii) if the Participant is an employee, the date on which the Participant is no longer actively employed by and physically present on the premises of the Group, regardless of any notice period or period of pay in lieu of such notice required under any applicable laws.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Cancellation of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Share Plan does not prescribe specific circumstances under which Awards granted thereunder may be cancelled by the Administrator. For the avoidance of doubt, if the Administrator cancels an Award granted to a Participant for any reason, such Awards cancelled will be regarded as utilized for the purpose of calculating the Plan Limit (and, if applicable, the Consultant Sub-limit). Any new Awards granted to the same Participant may only be made if there are remaining Shares available for grant under the Plan Limit (and, if applicable, the Consultant Sub-limit).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Adjustment of Class A 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of any alteration in the capital structure of the Company such as capitalization issue, rights issue, subdivision or consolidation of Shares or reduction of the share capital of the Company (other than any alteration in the capital structure of the Company as a result of an issue of Shares as consideration in a transaction to which the Company is a party), the Administrator shall make such corresponding adjustments, if any, as it in its discretion may deem appropriate to reflect such change with respect to: (i) the number or nominal amount of Class A Ordinary Shares subject to the Awards so far as unexercised; or (ii) the exercise price, or any combination thereof. Such adjustments will be made in accordance with the requirements of the guidance materials published by the Stock Exchange. Any such adjustments (other than any made on a capitalization issue) shall be subject to a written confirmation from an independent financial advisor or the Company’s auditors, to have given the Participants the same proportion (or rights in respect of the same proportion) of the equity capital as that to which that person was previously entitled, provided that no such adjustments shall be made to the extent that a Share would be issued at less than its nominal value.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that the Company is a party to a merger or consolidation, or in the event of a sale of all or substantially all of the Company’s shares or assets, all Class A Ordinary Shares acquired under the 2026 Share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in its capacity as administrator of the 2026 Share Plan, with such determination having final and binding effect on all parties), which agreement or determination need not treat all Awards (or all portions of an Award) in an identical manner.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the extent not previously exercised or settled, Options and Restricted Share Units shall terminate immediately prior to the liquidation or dissolution of the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Except as provided in the 2026 Share Plan, a Participant shall have no rights by reason of (i) any subdivision or consolidation of shares of any class, (ii) the payment of any dividend or (iii) any other increase or decrease in the number of shares of any class. Any issuance by the Company of shares of any class, or securities convertible into shares of any class, shall not affect, and no adjustment by reason thereof shall be made with respect to, the number or exercise price of Class A Ordinary Shares subject to an Award.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Transferability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 Option or a Restricted Share Unit shall be personal to the Participant and shall not be transferable or assignable by the Participant, unless a waiver by applicable authorities (including the Stock Exchange) has been granted and the approval by the Administrator has been obtained. The Stock Exchange may consider granting such a waiver to allow a transfer of Options or Restricted Share Units to a vehicle (such as a trust or a private company) for the benefit of the Participant and any family members of such Participant (e.g. for estate planning or tax planning purposes) that would continue to meet the purpose of the 2026 Share Plan and comply with other requirements of the Listing Rules.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Clawback Mechanism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Subject to applicable laws and the requirements of any exchange on which the Class A Ordinary Shares are listed or traded (including the Listing Rules), (i) all of a Participant’s Options or Restricted Share Units, whether vested or unvested, and all other Awards granted to such Participant shall become ab initio void and the exercise of any such Options or Restricted Share Units shall therefore be automatically rescinded and void, and (ii) considering that all of such Participant’s Awards, whether vested or unvested, are ab initio void, such Participant shall forthwith return to the Company (A) all ADSs received in settlement or upon the exercise of such void Awards, (B) all cash, or other property that were received in settlement or upon the exercise of such void Awards, and/or (C) any proceeds, gains and/or economic benefits such Participant realized in connection with the sale, transfer or other disposition of the ADSs or other property received in settlement or upon the exercise of such void Awards, and the Company shall have the right to take all actions to effect the return from such Participant of all such ADSs, cash or other property, and/or proceeds, gains and/or economic benefits, upon the occurrence of any applicable event as may be specified in the applicable award agreements, including but not limited to termination for Cause, or commission of any act that constitutes Cause. “Cause” refers to serious misconduct or breach by a Participant as determined by the Group in good faith, including acts such as dishonesty, theft, fraud, criminal conviction, violation of laws or exchange rules, breach of fiduciary duty or material violation of written Company policies, material breach of agreements, failure to perform material duties after written notice and a reasonable opportunity to cure (if curable), unfair competition, defamatory or harmful statements, inducing contract breaches, or any act materially adverse to the Group’s reputation or interests. For the avoidance of doubt, any Awards clawed back will be regarded as lapsed and the Awards so lapsed will not be regarded as utilized for the purpose of calculating the Plan Limit and the Consultant Sub-limit.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of the 2026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Share Plan was adopted and became effective since March 13, 2026. The 2026 Share Plan shall terminate automatically 10 years after the date of its adoption by the Shareholders, unless terminated earlier as determined by the Board. Accordingly, the remaining life of the 2026 Share Plan is approximately 9.5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Amendment and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may amend, suspend or terminate the 2026 Share Plan at any time and for any reason, provided that an amendment to (i) the terms and conditions of the 2026 Share Plan which are of a material nature; (ii) the advantage of the Participants or prospective Participants relating to the matters set out in Rule 17.03 of the Listing Rules; or </w:t>
      </w:r>
      <w:r>
        <w:rPr>
          <w:rFonts w:ascii="Times New Roman;Times;serif" w:hAnsi="Times New Roman;Times;serif"/>
          <w:color w:val="231F20"/>
          <w:sz w:val="20"/>
        </w:rPr>
        <w:t>(iii) the authority of the Board to alter the terms of the 2026 Share Plan must be subject to the approval of the Shareholders in general meeting. For the avoidance of doubt, for so long as the Company remains primary listed on the Stock Exchange, such amended terms of the 2026 Share Plan shall still comply with the relevant requirements under Chapter 17 of the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any grant of Awards to a Participant was approved by the Board, a committee of the Board, the independent non-executive Directors and/or the Shareholders (as applicable and as the case may be) in the first place, any change to the terms of such Awards must be approved by the same authority, except any alterations to the Awards that would take effect automatically under the 2026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Class A Ordinary Shares shall be issued or sold and no Award shall be granted under the 2026 Share Plan after the termination thereof, except upon exercise or settlement of an Award granted under the 2026 Share Plan prior to such termination. The termination of the 2026 Share Plan shall not affect any Class A Ordinary Share previously issued or any Award previously granted under the 2026 Share Plan unless otherwise agreed by the Company and the affected Participant. Any amendment to the 2026 Share Plan shall be applicable to Awards and the Class A Ordinary Shares underlying such Awards previously granted, including those granted which remain unvested, unexercised or unsettled, as the case may be, unless otherwise determined by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Outstanding Awards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granted any share options under the 2026 Share Plan. Details of the movements of share awards granted under the 2026 Share Plan during the Reporting Period are as follows:</w:t>
      </w:r>
    </w:p>
    <w:tbl>
      <w:tblPr>
        <w:tblW w:w="10205" w:type="dxa"/>
        <w:jc w:val="left"/>
        <w:tblInd w:w="0" w:type="dxa"/>
        <w:tblLayout w:type="fixed"/>
        <w:tblCellMar>
          <w:top w:w="0" w:type="dxa"/>
          <w:left w:w="0" w:type="dxa"/>
          <w:bottom w:w="0" w:type="dxa"/>
          <w:right w:w="0" w:type="dxa"/>
        </w:tblCellMar>
      </w:tblPr>
      <w:tblGrid>
        <w:gridCol w:w="891"/>
        <w:gridCol w:w="346"/>
        <w:gridCol w:w="476"/>
        <w:gridCol w:w="346"/>
        <w:gridCol w:w="680"/>
        <w:gridCol w:w="346"/>
        <w:gridCol w:w="672"/>
        <w:gridCol w:w="346"/>
        <w:gridCol w:w="659"/>
        <w:gridCol w:w="346"/>
        <w:gridCol w:w="732"/>
        <w:gridCol w:w="346"/>
        <w:gridCol w:w="724"/>
        <w:gridCol w:w="346"/>
        <w:gridCol w:w="739"/>
        <w:gridCol w:w="346"/>
        <w:gridCol w:w="727"/>
        <w:gridCol w:w="346"/>
        <w:gridCol w:w="791"/>
      </w:tblGrid>
      <w:tr>
        <w:trPr/>
        <w:tc>
          <w:tcPr>
            <w:tcW w:w="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80"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6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10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Number of Class A Ordinary Shares underlying the relevant share awards</w:t>
            </w:r>
          </w:p>
        </w:tc>
      </w:tr>
      <w:tr>
        <w:trPr/>
        <w:tc>
          <w:tcPr>
            <w:tcW w:w="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672"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59"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Unvested as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Granted during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24"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Vested during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39"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Cancelled during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27"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Lapsed during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91"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Unvested as</w:t>
            </w:r>
          </w:p>
        </w:tc>
      </w:tr>
      <w:tr>
        <w:trPr/>
        <w:tc>
          <w:tcPr>
            <w:tcW w:w="891" w:type="dxa"/>
            <w:tcBorders/>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Category or</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4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659"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of January</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the 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24"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the 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39"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the 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27"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the Reporting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791" w:type="dxa"/>
            <w:tcBorders/>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of June</w:t>
            </w:r>
          </w:p>
        </w:tc>
      </w:tr>
      <w:tr>
        <w:trPr/>
        <w:tc>
          <w:tcPr>
            <w:tcW w:w="89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name of grantee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Date of grant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Vesting period</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Purchase price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1, 2026</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73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color w:val="231F20"/>
                <w:sz w:val="14"/>
              </w:rPr>
              <w:t>Period</w:t>
            </w:r>
            <w:r>
              <w:rPr>
                <w:rFonts w:ascii="Times New Roman;Times;serif" w:hAnsi="Times New Roman;Times;serif"/>
                <w:b/>
                <w:color w:val="231F20"/>
                <w:sz w:val="11"/>
              </w:rPr>
              <w:t>(1)</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Period</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4"/>
              </w:rPr>
            </w:pPr>
            <w:r>
              <w:rPr>
                <w:rFonts w:ascii="Times New Roman;Times;serif" w:hAnsi="Times New Roman;Times;serif"/>
                <w:b/>
                <w:color w:val="231F20"/>
                <w:sz w:val="14"/>
              </w:rPr>
              <w:t>30, 2026</w:t>
            </w:r>
          </w:p>
        </w:tc>
      </w:tr>
      <w:tr>
        <w:trPr/>
        <w:tc>
          <w:tcPr>
            <w:tcW w:w="891" w:type="dxa"/>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Other employees of the Group in aggregate</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47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680"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672"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659"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32"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24"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39"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27"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791" w:type="dxa"/>
            <w:tcBorders/>
            <w:shd w:fill="CCEEFF" w:val="clear"/>
            <w:vAlign w:val="center"/>
          </w:tcPr>
          <w:p>
            <w:pPr>
              <w:pStyle w:val="TableContents"/>
              <w:bidi w:val="0"/>
              <w:spacing w:before="0" w:after="0"/>
              <w:ind w:left="0" w:right="0" w:hanging="0"/>
              <w:jc w:val="center"/>
              <w:rPr>
                <w:color w:val="231F20"/>
              </w:rPr>
            </w:pPr>
            <w:r>
              <w:rPr>
                <w:color w:val="231F20"/>
              </w:rPr>
              <w:t>​</w:t>
            </w:r>
          </w:p>
        </w:tc>
      </w:tr>
      <w:tr>
        <w:trPr/>
        <w:tc>
          <w:tcPr>
            <w:tcW w:w="891" w:type="dxa"/>
            <w:tcBorders/>
            <w:vAlign w:val="center"/>
          </w:tcPr>
          <w:p>
            <w:pPr>
              <w:pStyle w:val="TableContents"/>
              <w:pBdr/>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274 grantees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476"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April 10, 2026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80" w:type="dxa"/>
            <w:tcBorders/>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42 to 58 months from date of grant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Nil</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59"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7,227,600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24"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39"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732,300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6,495,300</w:t>
            </w:r>
          </w:p>
        </w:tc>
      </w:tr>
      <w:tr>
        <w:trPr/>
        <w:tc>
          <w:tcPr>
            <w:tcW w:w="89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51 grantees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May 18, 2026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80"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14"/>
              </w:rPr>
            </w:pPr>
            <w:r>
              <w:rPr>
                <w:rFonts w:ascii="Times New Roman;Times;serif" w:hAnsi="Times New Roman;Times;serif"/>
                <w:color w:val="231F20"/>
                <w:sz w:val="14"/>
              </w:rPr>
              <w:t>15 to 54 months from date of grant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Nil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1,281,929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417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90,000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4"/>
              </w:rPr>
            </w:pPr>
            <w:r>
              <w:rPr>
                <w:rFonts w:ascii="Times New Roman;Times;serif" w:hAnsi="Times New Roman;Times;serif"/>
                <w:color w:val="231F20"/>
                <w:sz w:val="14"/>
              </w:rPr>
              <w:t>1,191,512</w:t>
            </w:r>
          </w:p>
        </w:tc>
      </w:tr>
      <w:tr>
        <w:trPr/>
        <w:tc>
          <w:tcPr>
            <w:tcW w:w="891" w:type="dxa"/>
            <w:tcBorders/>
            <w:vAlign w:val="center"/>
          </w:tcPr>
          <w:p>
            <w:pPr>
              <w:pStyle w:val="TableContents"/>
              <w:pBdr/>
              <w:bidi w:val="0"/>
              <w:spacing w:before="0" w:after="0"/>
              <w:ind w:left="0" w:right="0" w:hanging="0"/>
              <w:jc w:val="left"/>
              <w:rPr>
                <w:rFonts w:ascii="Times New Roman;Times;serif" w:hAnsi="Times New Roman;Times;serif"/>
                <w:b/>
                <w:color w:val="231F20"/>
                <w:sz w:val="14"/>
              </w:rPr>
            </w:pPr>
            <w:r>
              <w:rPr>
                <w:rFonts w:ascii="Times New Roman;Times;serif" w:hAnsi="Times New Roman;Times;serif"/>
                <w:b/>
                <w:color w:val="231F20"/>
                <w:sz w:val="14"/>
              </w:rPr>
              <w:t>Total</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14"/>
              </w:rPr>
            </w:pPr>
            <w:r>
              <w:rPr>
                <w:rFonts w:ascii="Times New Roman;Times;serif" w:hAnsi="Times New Roman;Times;serif"/>
                <w:b/>
                <w:color w:val="231F20"/>
                <w:sz w:val="14"/>
              </w:rPr>
              <w:t>8,509,529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417</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color w:val="231F20"/>
                <w:sz w:val="11"/>
              </w:rPr>
              <w:t>(5)</w:t>
            </w:r>
            <w:r>
              <w:rPr>
                <w:rFonts w:ascii="Times New Roman;Times;serif" w:hAnsi="Times New Roman;Times;serif"/>
                <w:color w:val="231F20"/>
                <w:sz w:val="14"/>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14"/>
              </w:rPr>
            </w:pPr>
            <w:r>
              <w:rPr>
                <w:rFonts w:ascii="Times New Roman;Times;serif" w:hAnsi="Times New Roman;Times;serif"/>
                <w:b/>
                <w:color w:val="231F20"/>
                <w:sz w:val="14"/>
              </w:rPr>
              <w:t>822,300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791"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color w:val="231F20"/>
                <w:sz w:val="14"/>
              </w:rPr>
            </w:pPr>
            <w:r>
              <w:rPr>
                <w:rFonts w:ascii="Times New Roman;Times;serif" w:hAnsi="Times New Roman;Times;serif"/>
                <w:b/>
                <w:color w:val="231F20"/>
                <w:sz w:val="14"/>
              </w:rPr>
              <w:t>7,686,812</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w:t>
      </w:r>
    </w:p>
    <w:tbl>
      <w:tblPr>
        <w:tblW w:w="10172" w:type="dxa"/>
        <w:jc w:val="left"/>
        <w:tblInd w:w="0" w:type="dxa"/>
        <w:tblLayout w:type="fixed"/>
        <w:tblCellMar>
          <w:top w:w="0" w:type="dxa"/>
          <w:left w:w="0" w:type="dxa"/>
          <w:bottom w:w="0" w:type="dxa"/>
          <w:right w:w="0" w:type="dxa"/>
        </w:tblCellMar>
      </w:tblPr>
      <w:tblGrid>
        <w:gridCol w:w="346"/>
        <w:gridCol w:w="982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performance targets are attached to the share awards granted under the 2026 Share Plan during the Reporting Period.</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respective closing price per Class A Ordinary Share on April 9 and May 15, 2026, being the trading days immediately before the grant dates of April 10 and May 18, 2026, was HK$20.18 and HK$19.72, respectively. The respective closing price per ADS on April 9 and May 15, 2026, being the trading days immediately before the grant dates of April 10 and May 18, 2026, was US$7.59 and US$7.14, respectively.</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fair value of the share awards granted on April 10 and May 18, 2026 was US$2.53 and US$2.38, respectively, as determined using the closing market price of the Class A Ordinary Shares at the respective dates of grant. For the accounting standard and policy adopted in respect of the above fair value calculations, please refer to Note 24 to the unaudited condensed consolidated financial statements in this interim report.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weighted average closing price of the Class A Ordinary Shares on the business day immediately before the dates on which share awards were vested during the Reporting Period was HK$20.21. The weighted average closing price of the ADSs on the business day immediately before the dates on which share awards were vested during the Reporting Period was US$8.05.</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the grant of share awards was delayed due to administrative reasons, the period between the date of grant and the first vesting date is less than 12 months to reflect the time from which the share awards would have been granted, as permitted under the 2026 Share Plan.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Number of Class A Ordinary Shares Available for Future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Share Plan was adopted on March 13, 2026. As of June 30, 2026, 95,045,017 and 10,273,224 underlying Class A Ordinary Shares were available for future grant under the Plan Limit and the Consultant Sub-limit on grants of Awards over new Shares under the 2026 Share Plan and any other schemes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Rule 17.07(3) of the Listing Rules, the number of Class A Ordinary Shares that may be issued in respect of share options and share awards granted under all schemes of the Company during the Reporting Period divided by the weighted average number of Shares (excluding treasury Shares) for the Reporting Period is 0.85%.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 FROM THE GLOBAL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6, 2025, the Class A Ordinary Shares of the Company were listed on the Main Board of the Stock Exchange and the Company successfully raised the net proceeds, after deducting the underwriting fees and commissions, of approximately HK$2,318.0 million (the “</w:t>
      </w:r>
      <w:r>
        <w:rPr>
          <w:rFonts w:ascii="Times New Roman;Times;serif" w:hAnsi="Times New Roman;Times;serif"/>
          <w:b/>
          <w:sz w:val="20"/>
        </w:rPr>
        <w:t>Global Offering Net Proceeds</w:t>
      </w:r>
      <w:r>
        <w:rPr>
          <w:rFonts w:ascii="Times New Roman;Times;serif" w:hAnsi="Times New Roman;Times;serif"/>
          <w:sz w:val="20"/>
        </w:rPr>
        <w:t>”). As of June 30, 2026 and up to the date of this interim report, the Company has not utilized any Global Offering Net Proceeds. As of the date of this interim report, there was no change in the intended use of the Global Offering Net Proceeds as previously disclosed in “Future Plans and Use of Proceeds” in the Prospectus. The Company plans to gradually utilize the Global Offering Net Proceeds in accordance with such intended purposes depending on actual business; the Global Offering Net Proceeds are expected to be utilized within the next two to three years. The following table sets out the status of the use of the Global Offering Net Proceeds, together with the expected timeline of use:</w:t>
      </w:r>
    </w:p>
    <w:tbl>
      <w:tblPr>
        <w:tblW w:w="10205" w:type="dxa"/>
        <w:jc w:val="left"/>
        <w:tblInd w:w="0" w:type="dxa"/>
        <w:tblLayout w:type="fixed"/>
        <w:tblCellMar>
          <w:top w:w="0" w:type="dxa"/>
          <w:left w:w="0" w:type="dxa"/>
          <w:bottom w:w="0" w:type="dxa"/>
          <w:right w:w="0" w:type="dxa"/>
        </w:tblCellMar>
      </w:tblPr>
      <w:tblGrid>
        <w:gridCol w:w="3905"/>
        <w:gridCol w:w="346"/>
        <w:gridCol w:w="1140"/>
        <w:gridCol w:w="346"/>
        <w:gridCol w:w="1164"/>
        <w:gridCol w:w="346"/>
        <w:gridCol w:w="1143"/>
        <w:gridCol w:w="346"/>
        <w:gridCol w:w="1469"/>
      </w:tblGrid>
      <w:tr>
        <w:trPr/>
        <w:tc>
          <w:tcPr>
            <w:tcW w:w="3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79675" cy="175260"/>
                      <wp:effectExtent l="0" t="0" r="0" b="0"/>
                      <wp:wrapNone/>
                      <wp:docPr id="100" name="Frame100"/>
                      <a:graphic xmlns:a="http://schemas.openxmlformats.org/drawingml/2006/main">
                        <a:graphicData uri="http://schemas.microsoft.com/office/word/2010/wordprocessingShape">
                          <wps:wsp>
                            <wps:cNvSpPr txBox="1"/>
                            <wps:spPr>
                              <a:xfrm>
                                <a:off x="0" y="0"/>
                                <a:ext cx="2479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3900" cy="175260"/>
                      <wp:effectExtent l="0" t="0" r="0" b="0"/>
                      <wp:wrapNone/>
                      <wp:docPr id="102" name="Frame102"/>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39140" cy="175260"/>
                      <wp:effectExtent l="0" t="0" r="0" b="0"/>
                      <wp:wrapNone/>
                      <wp:docPr id="104" name="Frame104"/>
                      <a:graphic xmlns:a="http://schemas.openxmlformats.org/drawingml/2006/main">
                        <a:graphicData uri="http://schemas.microsoft.com/office/word/2010/wordprocessingShape">
                          <wps:wsp>
                            <wps:cNvSpPr txBox="1"/>
                            <wps:spPr>
                              <a:xfrm>
                                <a:off x="0" y="0"/>
                                <a:ext cx="739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5805" cy="175260"/>
                      <wp:effectExtent l="0" t="0" r="0" b="0"/>
                      <wp:wrapNone/>
                      <wp:docPr id="106" name="Frame106"/>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32815" cy="175260"/>
                      <wp:effectExtent l="0" t="0" r="0" b="0"/>
                      <wp:wrapNone/>
                      <wp:docPr id="108" name="Frame108"/>
                      <a:graphic xmlns:a="http://schemas.openxmlformats.org/drawingml/2006/main">
                        <a:graphicData uri="http://schemas.microsoft.com/office/word/2010/wordprocessingShape">
                          <wps:wsp>
                            <wps:cNvSpPr txBox="1"/>
                            <wps:spPr>
                              <a:xfrm>
                                <a:off x="0" y="0"/>
                                <a:ext cx="932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140"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Planned</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143" w:type="dxa"/>
            <w:tcBorders/>
            <w:vAlign w:val="center"/>
          </w:tcPr>
          <w:p>
            <w:pPr>
              <w:pStyle w:val="TableContents"/>
              <w:bidi w:val="0"/>
              <w:spacing w:before="0" w:after="0"/>
              <w:ind w:left="0" w:right="0" w:hanging="0"/>
              <w:jc w:val="center"/>
              <w:rPr>
                <w:color w:val="231F20"/>
              </w:rPr>
            </w:pPr>
            <w:r>
              <w:rPr>
                <w:color w:val="231F20"/>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469" w:type="dxa"/>
            <w:tcBorders/>
            <w:vAlign w:val="center"/>
          </w:tcPr>
          <w:p>
            <w:pPr>
              <w:pStyle w:val="TableContents"/>
              <w:bidi w:val="0"/>
              <w:spacing w:before="0" w:after="0"/>
              <w:ind w:left="0" w:right="0" w:hanging="0"/>
              <w:jc w:val="center"/>
              <w:rPr>
                <w:color w:val="231F20"/>
              </w:rPr>
            </w:pPr>
            <w:r>
              <w:rPr>
                <w:color w:val="231F20"/>
              </w:rPr>
              <w:t>​</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0"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allocation of the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3"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Expected</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Percentage of</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Global Offering</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3"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timeframe for</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the Global</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Net Proceeds as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Net proceeds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utilizing the</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Offering Net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stated in the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unutilized as of</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remaining </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0"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Proceeds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6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Prospectus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4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unutilized net</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140"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(Approximate)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164"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(Approximate)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143"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(Approximate)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469"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proceeds</w:t>
            </w:r>
          </w:p>
        </w:tc>
      </w:tr>
      <w:tr>
        <w:trPr/>
        <w:tc>
          <w:tcPr>
            <w:tcW w:w="39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40" w:type="dxa"/>
            <w:tcBorders/>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64" w:type="dxa"/>
            <w:tcBorders/>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(HK$ million)</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43" w:type="dxa"/>
            <w:tcBorders/>
            <w:vAlign w:val="center"/>
          </w:tcPr>
          <w:p>
            <w:pPr>
              <w:pStyle w:val="TableContents"/>
              <w:bidi w:val="0"/>
              <w:spacing w:before="0" w:after="0"/>
              <w:ind w:left="0" w:right="0" w:hanging="0"/>
              <w:jc w:val="center"/>
              <w:rPr>
                <w:rFonts w:ascii="Times New Roman;Times;serif" w:hAnsi="Times New Roman;Times;serif"/>
                <w:i/>
                <w:color w:val="231F20"/>
                <w:sz w:val="16"/>
              </w:rPr>
            </w:pPr>
            <w:r>
              <w:rPr>
                <w:rFonts w:ascii="Times New Roman;Times;serif" w:hAnsi="Times New Roman;Times;serif"/>
                <w:i/>
                <w:color w:val="231F20"/>
                <w:sz w:val="16"/>
              </w:rPr>
              <w:t>(HK$ million)</w:t>
            </w:r>
          </w:p>
        </w:tc>
        <w:tc>
          <w:tcPr>
            <w:tcW w:w="346" w:type="dxa"/>
            <w:tcBorders/>
            <w:vAlign w:val="center"/>
          </w:tcPr>
          <w:p>
            <w:pPr>
              <w:pStyle w:val="TableContents"/>
              <w:bidi w:val="0"/>
              <w:spacing w:before="0" w:after="0"/>
              <w:ind w:left="0" w:right="0" w:hanging="0"/>
              <w:jc w:val="center"/>
              <w:rPr/>
            </w:pPr>
            <w:r>
              <w:rPr/>
              <w:t>​</w:t>
            </w:r>
          </w:p>
        </w:tc>
        <w:tc>
          <w:tcPr>
            <w:tcW w:w="1469" w:type="dxa"/>
            <w:tcBorders/>
            <w:vAlign w:val="center"/>
          </w:tcPr>
          <w:p>
            <w:pPr>
              <w:pStyle w:val="TableContents"/>
              <w:bidi w:val="0"/>
              <w:spacing w:before="0" w:after="0"/>
              <w:ind w:left="0" w:right="0" w:hanging="0"/>
              <w:jc w:val="center"/>
              <w:rPr/>
            </w:pPr>
            <w:r>
              <w:rPr/>
              <w:t>​</w:t>
            </w:r>
          </w:p>
        </w:tc>
      </w:tr>
      <w:tr>
        <w:trPr/>
        <w:tc>
          <w:tcPr>
            <w:tcW w:w="3905"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To develop our autonomous driving technology stack, including infrastructure and core capabilities, data, autonomous driving technology solutions, and an operations platform</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40.0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927.2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927.2</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46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Over the course of the next two to three years</w:t>
            </w:r>
          </w:p>
        </w:tc>
      </w:tr>
      <w:tr>
        <w:trPr/>
        <w:tc>
          <w:tcPr>
            <w:tcW w:w="3905" w:type="dxa"/>
            <w:tcBorders/>
            <w:vAlign w:val="center"/>
          </w:tcPr>
          <w:p>
            <w:pPr>
              <w:pStyle w:val="TableContents"/>
              <w:pBdr/>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To accelerate the commercial mass production and/or the operation of our L4 fleets, to improve the quality of our autonomous driving products and solutions and expand our business scale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40.0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64"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927.2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43"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927.2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469"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Over the course of the next two to three years</w:t>
            </w:r>
          </w:p>
        </w:tc>
      </w:tr>
      <w:tr>
        <w:trPr/>
        <w:tc>
          <w:tcPr>
            <w:tcW w:w="3905"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To establish marketing teams and branches necessary for us to expand into existing markets and additional markets, as well as to invest in marketing activities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10.0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231.8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231.8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469"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Over the course of the next two to three years</w:t>
            </w:r>
          </w:p>
        </w:tc>
      </w:tr>
      <w:tr>
        <w:trPr/>
        <w:tc>
          <w:tcPr>
            <w:tcW w:w="3905" w:type="dxa"/>
            <w:tcBorders/>
            <w:vAlign w:val="center"/>
          </w:tcPr>
          <w:p>
            <w:pPr>
              <w:pStyle w:val="TableContents"/>
              <w:pBdr/>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Working capital and general corporate purposes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10.0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231.8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1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231.8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469"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Over the course of the next two to three years</w:t>
            </w:r>
          </w:p>
        </w:tc>
      </w:tr>
      <w:tr>
        <w:trPr/>
        <w:tc>
          <w:tcPr>
            <w:tcW w:w="3905" w:type="dxa"/>
            <w:tcBorders/>
            <w:shd w:fill="CCEEFF" w:val="clear"/>
            <w:vAlign w:val="center"/>
          </w:tcPr>
          <w:p>
            <w:pPr>
              <w:pStyle w:val="TableContents"/>
              <w:pBdr/>
              <w:bidi w:val="0"/>
              <w:spacing w:before="0" w:after="0"/>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Total</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2,318.0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2,318.0</w:t>
            </w:r>
          </w:p>
        </w:tc>
        <w:tc>
          <w:tcPr>
            <w:tcW w:w="346" w:type="dxa"/>
            <w:tcBorders/>
            <w:shd w:fill="CCEEFF" w:val="clear"/>
            <w:vAlign w:val="center"/>
          </w:tcPr>
          <w:p>
            <w:pPr>
              <w:pStyle w:val="TableContents"/>
              <w:bidi w:val="0"/>
              <w:spacing w:before="0" w:after="0"/>
              <w:ind w:left="0" w:right="0" w:hanging="0"/>
              <w:jc w:val="left"/>
              <w:rPr/>
            </w:pPr>
            <w:r>
              <w:rPr/>
              <w:t> </w:t>
            </w:r>
          </w:p>
        </w:tc>
        <w:tc>
          <w:tcPr>
            <w:tcW w:w="1469"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that the Global Offering Net Proceeds are not immediately used for the intended purposes, and to the extent permitted by the relevant laws and regulations, the Group intends to deposit the proceeds in short-term interest-bearing accounts at licensed commercial banks and/or other authorized financial institutions (as defined under the SFO or applicable laws and regulations in other jurisdictions).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INTERIM DIVIDEND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does not recommend any interim dividend for the six months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SALE OR REDEMPTION OF THE COMPANY’S LISTED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Reporting Period, the Company repurchased a total of 27,447,800 Class A Ordinary Shares at an aggregate consideration of HK$542.98 million on the Stock Exchange and a total of 4,335,433 ADSs at an aggregate consideration of US$30.02 million on Nasdaq. Particulars of the repurchases made by the Company during the Reporting Period are as follows:</w:t>
      </w:r>
    </w:p>
    <w:tbl>
      <w:tblPr>
        <w:tblW w:w="9846" w:type="dxa"/>
        <w:jc w:val="left"/>
        <w:tblInd w:w="0" w:type="dxa"/>
        <w:tblLayout w:type="fixed"/>
        <w:tblCellMar>
          <w:top w:w="0" w:type="dxa"/>
          <w:left w:w="0" w:type="dxa"/>
          <w:bottom w:w="0" w:type="dxa"/>
          <w:right w:w="0" w:type="dxa"/>
        </w:tblCellMar>
      </w:tblPr>
      <w:tblGrid>
        <w:gridCol w:w="1516"/>
        <w:gridCol w:w="346"/>
        <w:gridCol w:w="1786"/>
        <w:gridCol w:w="346"/>
        <w:gridCol w:w="1306"/>
        <w:gridCol w:w="346"/>
        <w:gridCol w:w="946"/>
        <w:gridCol w:w="146"/>
        <w:gridCol w:w="946"/>
        <w:gridCol w:w="346"/>
        <w:gridCol w:w="1816"/>
      </w:tblGrid>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 of Class</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9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color w:val="231F20"/>
              </w:rPr>
            </w:pPr>
            <w:r>
              <w:rPr>
                <w:color w:val="231F20"/>
              </w:rPr>
              <w:t>​</w:t>
            </w:r>
          </w:p>
        </w:tc>
        <w:tc>
          <w:tcPr>
            <w:tcW w:w="946" w:type="dxa"/>
            <w:tcBorders/>
            <w:vAlign w:val="center"/>
          </w:tcPr>
          <w:p>
            <w:pPr>
              <w:pStyle w:val="TableContents"/>
              <w:bidi w:val="0"/>
              <w:spacing w:before="0" w:after="0"/>
              <w:ind w:left="0" w:right="0" w:hanging="0"/>
              <w:jc w:val="center"/>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  ​ ​ ​</w:t>
            </w:r>
          </w:p>
        </w:tc>
        <w:tc>
          <w:tcPr>
            <w:tcW w:w="1816" w:type="dxa"/>
            <w:tcBorders/>
            <w:vAlign w:val="center"/>
          </w:tcPr>
          <w:p>
            <w:pPr>
              <w:pStyle w:val="TableContents"/>
              <w:bidi w:val="0"/>
              <w:spacing w:before="0" w:after="0"/>
              <w:ind w:left="0" w:right="0" w:hanging="0"/>
              <w:jc w:val="center"/>
              <w:rPr/>
            </w:pPr>
            <w:r>
              <w:rPr/>
              <w:t>  ​</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 Ordinary</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038" w:type="dxa"/>
            <w:gridSpan w:val="3"/>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Price paid per Class A</w:t>
            </w:r>
          </w:p>
        </w:tc>
        <w:tc>
          <w:tcPr>
            <w:tcW w:w="346" w:type="dxa"/>
            <w:tcBorders/>
            <w:vAlign w:val="center"/>
          </w:tcPr>
          <w:p>
            <w:pPr>
              <w:pStyle w:val="TableContents"/>
              <w:bidi w:val="0"/>
              <w:spacing w:before="0" w:after="0"/>
              <w:ind w:left="0" w:right="0" w:hanging="0"/>
              <w:jc w:val="center"/>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Aggregate</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8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Venue </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0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Ordinary Share</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consideration</w: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Time of repurchase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78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repurchase</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306" w:type="dxa"/>
            <w:tcBorders>
              <w:bottom w:val="single" w:sz="2" w:space="0" w:color="231F2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repurchased</w:t>
            </w:r>
            <w:r>
              <w:rPr>
                <w:rFonts w:ascii="Times New Roman;Times;serif" w:hAnsi="Times New Roman;Times;serif"/>
                <w:b/>
                <w:color w:val="231F20"/>
                <w:sz w:val="12"/>
              </w:rPr>
              <w:t>(1)</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Highest</w:t>
            </w:r>
          </w:p>
        </w:tc>
        <w:tc>
          <w:tcPr>
            <w:tcW w:w="146" w:type="dxa"/>
            <w:tcBorders/>
            <w:vAlign w:val="center"/>
          </w:tcPr>
          <w:p>
            <w:pPr>
              <w:pStyle w:val="TableContents"/>
              <w:bidi w:val="0"/>
              <w:spacing w:before="0" w:after="0"/>
              <w:ind w:left="0" w:right="0" w:hanging="0"/>
              <w:jc w:val="center"/>
              <w:rPr/>
            </w:pPr>
            <w:r>
              <w:rPr/>
              <w:t>​</w:t>
            </w:r>
          </w:p>
        </w:tc>
        <w:tc>
          <w:tcPr>
            <w:tcW w:w="9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Lowest</w:t>
            </w:r>
          </w:p>
        </w:tc>
        <w:tc>
          <w:tcPr>
            <w:tcW w:w="346" w:type="dxa"/>
            <w:tcBorders/>
            <w:vAlign w:val="center"/>
          </w:tcPr>
          <w:p>
            <w:pPr>
              <w:pStyle w:val="TableContents"/>
              <w:bidi w:val="0"/>
              <w:spacing w:before="0" w:after="0"/>
              <w:ind w:left="0" w:right="0" w:hanging="0"/>
              <w:jc w:val="center"/>
              <w:rPr/>
            </w:pPr>
            <w:r>
              <w:rPr/>
              <w:t>​</w:t>
            </w:r>
          </w:p>
        </w:tc>
        <w:tc>
          <w:tcPr>
            <w:tcW w:w="181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March 2026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Stock Exchange</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17,029,000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HK$20.32</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HK$17.53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HK$336,857,621.00</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7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Nasdaq</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3,234,039</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US$2.64</w:t>
            </w:r>
          </w:p>
        </w:tc>
        <w:tc>
          <w:tcPr>
            <w:tcW w:w="1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US$2.30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81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US$7,999,502.75</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April 2026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Nasdaq</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2,280,000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US$2.50</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US$2.43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US$5,667,396.79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May 2026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7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Stock Exchange</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6,847,100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HK$20.66</w:t>
            </w:r>
          </w:p>
        </w:tc>
        <w:tc>
          <w:tcPr>
            <w:tcW w:w="1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HK$17.23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81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HK$131,981,547.00</w:t>
            </w:r>
          </w:p>
        </w:tc>
      </w:tr>
      <w:tr>
        <w:trPr/>
        <w:tc>
          <w:tcPr>
            <w:tcW w:w="151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Nasdaq</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4,238,817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US$2.50</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US$2.21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US$10,245,748.47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June 2026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78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Stock Exchange</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3,571,700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HK$21.30</w:t>
            </w:r>
          </w:p>
        </w:tc>
        <w:tc>
          <w:tcPr>
            <w:tcW w:w="146" w:type="dxa"/>
            <w:tcBorders/>
            <w:vAlign w:val="center"/>
          </w:tcPr>
          <w:p>
            <w:pPr>
              <w:pStyle w:val="TableContents"/>
              <w:bidi w:val="0"/>
              <w:spacing w:before="0" w:after="0"/>
              <w:ind w:left="0" w:right="0" w:hanging="0"/>
              <w:jc w:val="left"/>
              <w:rPr>
                <w:color w:val="231F20"/>
              </w:rPr>
            </w:pPr>
            <w:r>
              <w:rPr>
                <w:color w:val="231F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HK$19.58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81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HK$74,136,958.00</w:t>
            </w:r>
          </w:p>
        </w:tc>
      </w:tr>
      <w:tr>
        <w:trPr/>
        <w:tc>
          <w:tcPr>
            <w:tcW w:w="15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Nasdaq</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3,253,443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US$1.99</w:t>
            </w:r>
          </w:p>
        </w:tc>
        <w:tc>
          <w:tcPr>
            <w:tcW w:w="1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US$1.79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816" w:type="dxa"/>
            <w:tcBorders/>
            <w:shd w:fill="CCEEFF" w:val="clear"/>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US$6,109,271.36</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Note:</w:t>
      </w:r>
    </w:p>
    <w:tbl>
      <w:tblPr>
        <w:tblW w:w="9557" w:type="dxa"/>
        <w:jc w:val="left"/>
        <w:tblInd w:w="0" w:type="dxa"/>
        <w:tblLayout w:type="fixed"/>
        <w:tblCellMar>
          <w:top w:w="0" w:type="dxa"/>
          <w:left w:w="0" w:type="dxa"/>
          <w:bottom w:w="0" w:type="dxa"/>
          <w:right w:w="0" w:type="dxa"/>
        </w:tblCellMar>
      </w:tblPr>
      <w:tblGrid>
        <w:gridCol w:w="346"/>
        <w:gridCol w:w="92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21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securities purchased on Nasdaq were in the form of ADS. One ADS represents three Class A Ordinary Shares.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as disclosed above, neither the Company nor any of its subsidiaries purchased, sold, or redeemed any of the Company’s listed securities (including the sale or transfer of treasury Shares) during the Reporting Period. As of June 30, 2026, the Company held 40,454,099 treasury Shares. Such treasury Shares will, to the extent permitted by applicable laws, regulations and the Listing Rules, be used for share schemes, sold for cash or cancelled, as appropriate.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DIRECTORS’ INFORMATION PURSUANT TO RULE 13.51B(1) OF THE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Mr. Kazuhiro Doi resigned as a non-executive Director due to retirement with effect from March 31,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Ichijo Futakawa was appointed as a non-executive Director with effect from April 21,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Jean-François Salles, a non-executive Director, has served as the Vice President of Global Business Services at Renault Group since early 2026. Prior to this appointment, he served as the Vice President of Partnerships at Renault Group since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as disclosed above, during the Reporting Period, there was no change in the information of the Directors that is required to be disclosed pursuant to Rule 13.51B(1) of the Listing Rules since the publication of the Company’s annual report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CONTINUING DISCLOSURE OBLIGATION PURSUANT TO THE LISTING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as disclosed in this interim report, the Company does not have any other disclosure obligations under Rules 13.20, 13.21 and 13.22 of the Listing Rules.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was not involved in any material litigation or arbitration during the Reporting Period which could have a material and adverse effect on the Group’s financial condition or results of operations. The Directors are also not aware of any material litigation or claims that are pending or threatened against the Group during the Reporting Period and up to the Latest Practicable Date which could have a material and adverse effect on the Group’s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IMPORTANT EVENTS AFTER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important events affecting the Group occurred since June 30, 2026 and up to the date of this interim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APPROVAL OF INTERIM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interim report and the unaudited condensed consolidated interim results of the Group for the six months ended June 30, 2026 were approved and authorized for issue by the Board on August 12,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NON-IFRS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evaluating its business, the Company considers and uses the non-IFRS financial measures of (i) adjusted loss for the period and (ii) EBITDA as supplemental measures to review and assess operating performance. The Company believes that adjusted loss for the period and EBITDA provide useful information to investors and others in understanding and evaluating the Company’s consolidated results of operations in the same manner as it helps the Company’s management. The Company defines adjusted loss for the period as loss for the period excluding share-based compensation expenses and fair value changes of financial assets at FVTPL. The Company defines EBITDA as loss for the period excluding income tax, finance costs, depreciation and amortization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presents the non-IFRS financial measures because they are used by its management to evaluate its operating performance and formulate business plans. Adjusted loss for the period enables the Company’s management to assess the Company’s operating results without considering the impact of the aforementioned non-cash adjustment items that it does not consider to be indicative of its core operations. EBITDA enables the Company’s management to assess the Company’s operating results without considering the impact of income tax, finance costs, and depreciation and amortization expenses and focus more on the operating cash items. Accordingly, the Company believes that the use of these non-IFRS financial measures provides useful information to investors and others in understanding and evaluating its operating results in the same manner as its management and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non-IFRS financial measures are not defined under IFRS and are not presented in accordance with IFRS. The non-IFRS financial measures have limitations as analytical tools. One of the key limitations of using the non-IFRS financial measures is that they do not reflect all items of expenses that affect the Company’s operations. Further, these non-IFRS measures may differ from the non-IFRS information used by other companies, including peer companies, and therefore the comparability may be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non-IFRS financial measures should not be considered in isolation or construed as alternatives to loss for the period or any other measure of performance information prepared and presented in accordance with IFRS or as an indicator of the Company’s operating performance. Investors are encouraged to review the Company’s historical non-IFRS financial measures in light of the most directly comparable IFRS measure, as shown below. The non-IFRS financial measures presented here may not be comparable to similarly titled measures presented by other companies. Other companies may calculate similarly titled measures differently, limiting the usefulness of such measures when analyzing the Company’s data comparatively. It is encouraged that you review the Company’s financial information in its entirety and not rely on a single financial measure.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 w:name="INDEPENDENTAUDITORSREPORT_584759"/>
      <w:bookmarkStart w:id="25" w:name="_d6b7c6fb_603d_4597_9d85_9a37f2796555"/>
      <w:bookmarkEnd w:id="24"/>
      <w:bookmarkEnd w:id="25"/>
      <w:r>
        <w:rPr>
          <w:rFonts w:ascii="Times New Roman;Times;serif" w:hAnsi="Times New Roman;Times;serif"/>
          <w:b/>
          <w:sz w:val="20"/>
        </w:rPr>
        <w:t>INDEPENDENT AUDITOR’S REPORT</w:t>
      </w:r>
    </w:p>
    <w:p>
      <w:pPr>
        <w:pStyle w:val="TextBody"/>
        <w:bidi w:val="0"/>
        <w:spacing w:before="0" w:after="240"/>
        <w:ind w:left="0" w:right="0" w:hanging="0"/>
        <w:jc w:val="left"/>
        <w:rPr/>
      </w:pPr>
      <w:r>
        <w:rPr/>
        <w:drawing>
          <wp:inline distT="0" distB="0" distL="0" distR="0">
            <wp:extent cx="905510" cy="370840"/>
            <wp:effectExtent l="0" t="0" r="0" b="0"/>
            <wp:docPr id="10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 descr=""/>
                    <pic:cNvPicPr>
                      <a:picLocks noChangeAspect="1" noChangeArrowheads="1"/>
                    </pic:cNvPicPr>
                  </pic:nvPicPr>
                  <pic:blipFill>
                    <a:blip r:embed="rId2"/>
                    <a:stretch>
                      <a:fillRect/>
                    </a:stretch>
                  </pic:blipFill>
                  <pic:spPr bwMode="auto">
                    <a:xfrm>
                      <a:off x="0" y="0"/>
                      <a:ext cx="905510" cy="37084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 the Shareholders of WeRide Inc.</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(incorporated in the Cayman Islands with limited liability)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reviewed the accompanying condensed consolidated statement of financial position of WeRide Inc. (the “Company”) and its subsidiaries (together, the “Group”) as of June 30, 2026, the condensed consolidated statements of profit or loss, profit or loss and other comprehensive income, changes in equity and cash flows for the six-month period then ended, and notes to the interim financial statements (“the condensed consolidated interim financial statements”). Management is responsible for the preparation and presentation of these condensed consolidated interim financial statements in accordance with IAS 34 </w:t>
      </w:r>
      <w:r>
        <w:rPr>
          <w:rFonts w:ascii="Times New Roman;Times;serif" w:hAnsi="Times New Roman;Times;serif"/>
          <w:i/>
          <w:sz w:val="20"/>
        </w:rPr>
        <w:t>Interim Financial Reporting.</w:t>
      </w:r>
      <w:r>
        <w:rPr>
          <w:rFonts w:ascii="Times New Roman;Times;serif" w:hAnsi="Times New Roman;Times;serif"/>
          <w:sz w:val="20"/>
        </w:rPr>
        <w:t xml:space="preserve"> Our responsibility is to express a conclusion on these condensed consolidated interim financial statements based on our review.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SCOPE OF REVIEW</w:t>
      </w:r>
    </w:p>
    <w:p>
      <w:pPr>
        <w:pStyle w:val="TextBody"/>
        <w:bidi w:val="0"/>
        <w:spacing w:before="0" w:after="240"/>
        <w:ind w:left="0" w:right="0" w:firstLine="18"/>
        <w:jc w:val="both"/>
        <w:rPr>
          <w:rFonts w:ascii="Times New Roman;Times;serif" w:hAnsi="Times New Roman;Times;serif"/>
          <w:sz w:val="20"/>
        </w:rPr>
      </w:pPr>
      <w:r>
        <w:rPr>
          <w:rFonts w:ascii="Times New Roman;Times;serif" w:hAnsi="Times New Roman;Times;serif"/>
          <w:sz w:val="20"/>
        </w:rPr>
        <w:t xml:space="preserve">We conducted our review in accordance with Hong Kong Standard on Review Engagements 2410, </w:t>
      </w:r>
      <w:r>
        <w:rPr>
          <w:rFonts w:ascii="Times New Roman;Times;serif" w:hAnsi="Times New Roman;Times;serif"/>
          <w:i/>
          <w:sz w:val="20"/>
        </w:rPr>
        <w:t>Review of Interim Financial Information Performed by the Independent Auditor of the Entity.</w:t>
      </w:r>
      <w:r>
        <w:rPr>
          <w:rFonts w:ascii="Times New Roman;Times;serif" w:hAnsi="Times New Roman;Times;serif"/>
          <w:sz w:val="20"/>
        </w:rPr>
        <w:t xml:space="preserve"> A review of interim financial statements consists of making inquiries, primarily of persons responsible for financial and accounting matters, and applying analytical and other review procedures. A review is substantially less in scope than an audit conducted in accordance with Hong Kong Standards on Auditing and consequently does not enable us to obtain assurance that we would become aware of all significant matters that might be identified in an audit. Accordingly, we do not express an audit opinion.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CONCLUSION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Based on our review, nothing has come to our attention that causes us to believe that the accompanying condensed consolidated interim financial statements as of and for the six months ended June 30, 2026 are not prepared, in all material respects, in accordance with IAS 34 </w:t>
      </w:r>
      <w:r>
        <w:rPr>
          <w:rFonts w:ascii="Times New Roman;Times;serif" w:hAnsi="Times New Roman;Times;serif"/>
          <w:i/>
          <w:sz w:val="20"/>
        </w:rPr>
        <w:t>Interim Financial Reporting.</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KPMG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Certified Public Accountants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8th Floor, Prince’s Building 10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Chater Road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Central, Hong Kong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August 12, 2026</w:t>
      </w:r>
    </w:p>
    <w:p>
      <w:pPr>
        <w:pStyle w:val="TextBody"/>
        <w:bidi w:val="0"/>
        <w:spacing w:before="0" w:after="0"/>
        <w:ind w:left="0" w:right="0" w:hanging="0"/>
        <w:jc w:val="left"/>
        <w:rPr/>
      </w:pPr>
      <w:r>
        <w:rPr/>
        <w:t>​</w:t>
      </w:r>
    </w:p>
    <w:p>
      <w:pPr>
        <w:pStyle w:val="TextBody"/>
        <w:bidi w:val="0"/>
        <w:spacing w:before="0" w:after="240"/>
        <w:ind w:left="0" w:right="0" w:hanging="0"/>
        <w:jc w:val="righ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 w:name="_0c855618_3b62_4a69_91b2_e317eac6c814"/>
      <w:bookmarkEnd w:id="26"/>
      <w:r>
        <w:rPr>
          <w:rFonts w:ascii="Times New Roman;Times;serif" w:hAnsi="Times New Roman;Times;serif"/>
          <w:b/>
          <w:sz w:val="20"/>
        </w:rPr>
        <w:t>WERIDE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517"/>
        <w:gridCol w:w="109"/>
        <w:gridCol w:w="579"/>
      </w:tblGrid>
      <w:tr>
        <w:trPr/>
        <w:tc>
          <w:tcPr>
            <w:tcW w:w="9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043295" cy="175260"/>
                      <wp:effectExtent l="0" t="0" r="0" b="0"/>
                      <wp:wrapNone/>
                      <wp:docPr id="110" name="Frame109"/>
                      <a:graphic xmlns:a="http://schemas.openxmlformats.org/drawingml/2006/main">
                        <a:graphicData uri="http://schemas.microsoft.com/office/word/2010/wordprocessingShape">
                          <wps:wsp>
                            <wps:cNvSpPr txBox="1"/>
                            <wps:spPr>
                              <a:xfrm>
                                <a:off x="0" y="0"/>
                                <a:ext cx="6043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7665" cy="175260"/>
                      <wp:effectExtent l="0" t="0" r="0" b="0"/>
                      <wp:wrapNone/>
                      <wp:docPr id="111" name="Frame110"/>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 Condensed Consolidated Financial Statements:</w:t>
            </w:r>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r>
      <w:tr>
        <w:trPr/>
        <w:tc>
          <w:tcPr>
            <w:tcW w:w="9517" w:type="dxa"/>
            <w:tcBorders/>
            <w:shd w:fill="CCEEFF" w:val="clear"/>
            <w:vAlign w:val="center"/>
          </w:tcPr>
          <w:p>
            <w:pPr>
              <w:pStyle w:val="TableContents"/>
              <w:pBdr/>
              <w:bidi w:val="0"/>
              <w:spacing w:before="0" w:after="0"/>
              <w:ind w:left="0" w:right="0" w:hanging="0"/>
              <w:jc w:val="left"/>
              <w:rPr/>
            </w:pPr>
            <w:hyperlink w:anchor="UnauditedCondensedConsolidatedStatements">
              <w:r>
                <w:rPr>
                  <w:rStyle w:val="InternetLink"/>
                  <w:rFonts w:ascii="Times New Roman;Times;serif" w:hAnsi="Times New Roman;Times;serif"/>
                  <w:b w:val="false"/>
                  <w:i w:val="false"/>
                  <w:caps w:val="false"/>
                  <w:smallCaps w:val="false"/>
                  <w:sz w:val="20"/>
                </w:rPr>
                <w:t>Unaudited Condensed Consolidated Statement of Profit or Loss for the Six Months Ended June 30, 2025 and 2026</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517" w:type="dxa"/>
            <w:tcBorders/>
            <w:vAlign w:val="center"/>
          </w:tcPr>
          <w:p>
            <w:pPr>
              <w:pStyle w:val="TableContents"/>
              <w:pBdr/>
              <w:bidi w:val="0"/>
              <w:spacing w:before="0" w:after="0"/>
              <w:ind w:left="0" w:right="0" w:hanging="0"/>
              <w:jc w:val="left"/>
              <w:rPr/>
            </w:pPr>
            <w:hyperlink w:anchor="ProfitorLossandOtherComprehensiveIncome_">
              <w:r>
                <w:rPr>
                  <w:rStyle w:val="InternetLink"/>
                  <w:rFonts w:ascii="Times New Roman;Times;serif" w:hAnsi="Times New Roman;Times;serif"/>
                  <w:b w:val="false"/>
                  <w:i w:val="false"/>
                  <w:caps w:val="false"/>
                  <w:smallCaps w:val="false"/>
                  <w:sz w:val="20"/>
                </w:rPr>
                <w:t>Unaudited Condensed Consolidated Statement of Profit or Loss and Other Comprehensive Income for the Six Months Ended June 30, 2025 and 2026</w:t>
              </w:r>
            </w:hyperlink>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517" w:type="dxa"/>
            <w:tcBorders/>
            <w:shd w:fill="CCEEFF" w:val="clear"/>
            <w:vAlign w:val="center"/>
          </w:tcPr>
          <w:p>
            <w:pPr>
              <w:pStyle w:val="TableContents"/>
              <w:pBdr/>
              <w:bidi w:val="0"/>
              <w:spacing w:before="0" w:after="0"/>
              <w:ind w:left="0" w:right="0" w:hanging="0"/>
              <w:jc w:val="left"/>
              <w:rPr/>
            </w:pPr>
            <w:hyperlink w:anchor="ConsolidatedStatementsofFinancialPositio">
              <w:r>
                <w:rPr>
                  <w:rStyle w:val="InternetLink"/>
                  <w:rFonts w:ascii="Times New Roman;Times;serif" w:hAnsi="Times New Roman;Times;serif"/>
                  <w:b w:val="false"/>
                  <w:i w:val="false"/>
                  <w:caps w:val="false"/>
                  <w:smallCaps w:val="false"/>
                  <w:sz w:val="20"/>
                </w:rPr>
                <w:t>Unaudited Condensed Consolidated Statement of Financial Position as of December 31, 2025 and June 30, 2026</w:t>
              </w:r>
            </w:hyperlink>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w:t>
            </w:r>
          </w:p>
        </w:tc>
      </w:tr>
      <w:tr>
        <w:trPr/>
        <w:tc>
          <w:tcPr>
            <w:tcW w:w="9517" w:type="dxa"/>
            <w:tcBorders/>
            <w:vAlign w:val="center"/>
          </w:tcPr>
          <w:p>
            <w:pPr>
              <w:pStyle w:val="TableContents"/>
              <w:pBdr/>
              <w:bidi w:val="0"/>
              <w:spacing w:before="0" w:after="0"/>
              <w:ind w:left="0" w:right="0" w:hanging="0"/>
              <w:jc w:val="left"/>
              <w:rPr/>
            </w:pPr>
            <w:hyperlink w:anchor="ChangesinEquity_517873">
              <w:r>
                <w:rPr>
                  <w:rStyle w:val="InternetLink"/>
                  <w:rFonts w:ascii="Times New Roman;Times;serif" w:hAnsi="Times New Roman;Times;serif"/>
                  <w:b w:val="false"/>
                  <w:i w:val="false"/>
                  <w:caps w:val="false"/>
                  <w:smallCaps w:val="false"/>
                  <w:sz w:val="20"/>
                </w:rPr>
                <w:t>Unaudited Condensed Consolidated Statement of Changes in Equity for the Six Months Ended June 30, 2025 and 2026</w:t>
              </w:r>
            </w:hyperlink>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w:t>
            </w:r>
          </w:p>
        </w:tc>
      </w:tr>
      <w:tr>
        <w:trPr/>
        <w:tc>
          <w:tcPr>
            <w:tcW w:w="9517" w:type="dxa"/>
            <w:tcBorders/>
            <w:shd w:fill="CCEEFF" w:val="clear"/>
            <w:vAlign w:val="center"/>
          </w:tcPr>
          <w:p>
            <w:pPr>
              <w:pStyle w:val="TableContents"/>
              <w:pBdr/>
              <w:bidi w:val="0"/>
              <w:spacing w:before="0" w:after="0"/>
              <w:ind w:left="0" w:right="0" w:hanging="0"/>
              <w:jc w:val="left"/>
              <w:rPr/>
            </w:pPr>
            <w:hyperlink w:anchor="StatementsofCashFlows_754498">
              <w:r>
                <w:rPr>
                  <w:rStyle w:val="InternetLink"/>
                  <w:rFonts w:ascii="Times New Roman;Times;serif" w:hAnsi="Times New Roman;Times;serif"/>
                  <w:b w:val="false"/>
                  <w:i w:val="false"/>
                  <w:caps w:val="false"/>
                  <w:smallCaps w:val="false"/>
                  <w:sz w:val="20"/>
                </w:rPr>
                <w:t>Unaudited Condensed Consolidated Statement of Cash Flows for the Six Months Ended June 30, 2025 and 2026</w:t>
              </w:r>
            </w:hyperlink>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517" w:type="dxa"/>
            <w:tcBorders/>
            <w:vAlign w:val="center"/>
          </w:tcPr>
          <w:p>
            <w:pPr>
              <w:pStyle w:val="TableContents"/>
              <w:pBdr/>
              <w:bidi w:val="0"/>
              <w:spacing w:before="0" w:after="0"/>
              <w:ind w:left="0" w:right="0" w:hanging="0"/>
              <w:jc w:val="left"/>
              <w:rPr/>
            </w:pPr>
            <w:hyperlink w:anchor="a1Generalinformationandbasisofpresentati">
              <w:r>
                <w:rPr>
                  <w:rStyle w:val="InternetLink"/>
                  <w:rFonts w:ascii="Times New Roman;Times;serif" w:hAnsi="Times New Roman;Times;serif"/>
                  <w:b w:val="false"/>
                  <w:i w:val="false"/>
                  <w:caps w:val="false"/>
                  <w:smallCaps w:val="false"/>
                  <w:sz w:val="20"/>
                </w:rPr>
                <w:t>Notes to the Unaudited Condensed Consolidated Interim Financial Statements</w:t>
              </w:r>
            </w:hyperlink>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UnauditedCondensedConsolidatedStatements"/>
      <w:bookmarkStart w:id="28" w:name="_390346e0_9ca1_4fe0_a22d_9932f9347028"/>
      <w:bookmarkEnd w:id="27"/>
      <w:bookmarkEnd w:id="28"/>
      <w:r>
        <w:rPr>
          <w:rFonts w:ascii="Times New Roman;Times;serif" w:hAnsi="Times New Roman;Times;serif"/>
          <w:b/>
          <w:sz w:val="20"/>
        </w:rPr>
        <w:t>UNAUDITED CONDENSED CONSOLIDATED STATEMENT OF PROFIT OR LOSS</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thousands of RMB, except for per share data)</w:t>
      </w:r>
    </w:p>
    <w:p>
      <w:pPr>
        <w:pStyle w:val="Normal"/>
        <w:bidi w:val="0"/>
        <w:spacing w:before="0" w:after="0"/>
        <w:jc w:val="left"/>
        <w:rPr>
          <w:sz w:val="4"/>
          <w:szCs w:val="4"/>
        </w:rPr>
      </w:pPr>
      <w:r>
        <w:rPr>
          <w:sz w:val="4"/>
          <w:szCs w:val="4"/>
        </w:rPr>
      </w:r>
      <w:bookmarkStart w:id="29" w:name="Tc_B3GAG5xr6kuoM0lhy1Uc8g_29_2"/>
      <w:bookmarkStart w:id="30" w:name="Tc_pl4pu36TX0KL7adsiy9NPA_29_0"/>
      <w:bookmarkStart w:id="31" w:name="Tc_Jkd4g2zhvUybcO-lE38v8w_28_0"/>
      <w:bookmarkStart w:id="32" w:name="Tc_479yXgWssUm317FVK4p29A_27_0"/>
      <w:bookmarkStart w:id="33" w:name="Tc_yJgB7mE_SEWXF27qv-WITw_26_0"/>
      <w:bookmarkStart w:id="34" w:name="Tc_YqURIWg-uUyI7OFVlwXjhQ_25_2"/>
      <w:bookmarkStart w:id="35" w:name="Tc_TNgYgAXv1UO7B6082doq0w_25_0"/>
      <w:bookmarkStart w:id="36" w:name="Tc_4Ek_3u9Ow0aPqkTHMw8SFg_24_0"/>
      <w:bookmarkStart w:id="37" w:name="Tc_O_A8nB8-fE-mz6IruMOvjg_23_2"/>
      <w:bookmarkStart w:id="38" w:name="Tc_YlE_TgEXqUaevUWBAdjC3w_23_0"/>
      <w:bookmarkStart w:id="39" w:name="Tc_65i5N8uCoUKWoHtyL8wTjQ_22_2"/>
      <w:bookmarkStart w:id="40" w:name="Tc_W3omqIh9ckugOLLHfx7JUQ_22_0"/>
      <w:bookmarkStart w:id="41" w:name="Tc_wqeZQJlJ30iP5Cup-DRINA_21_0"/>
      <w:bookmarkStart w:id="42" w:name="Tc_Up7ZEK0oKUuTNjbxnAAPOQ_20_0"/>
      <w:bookmarkStart w:id="43" w:name="Tc_53soTnqtK028TkmmiIGmFQ_19_0"/>
      <w:bookmarkStart w:id="44" w:name="Tc_jSBDsaS7Bk6NJ1VSsh7V0A_18_0"/>
      <w:bookmarkStart w:id="45" w:name="Tc_j2dZ_1wZvUSYEEZqgeF53A_17_2"/>
      <w:bookmarkStart w:id="46" w:name="Tc_dWW9ezvcJ0qzENSSqrNdAw_17_0"/>
      <w:bookmarkStart w:id="47" w:name="Tc_XnPVaZY-D0uenfL8xe9btQ_16_2"/>
      <w:bookmarkStart w:id="48" w:name="Tc_sLpu37DMj06aPBBL7DONeg_16_0"/>
      <w:bookmarkStart w:id="49" w:name="Tc_jJqvz__idEGE8BcnOmq9aw_15_2"/>
      <w:bookmarkStart w:id="50" w:name="Tc_Hzpb-wZRREODXRYjfA7HGw_15_0"/>
      <w:bookmarkStart w:id="51" w:name="Tc_MGRIE1YW30Oz0osy5Yq3Xg_14_2"/>
      <w:bookmarkStart w:id="52" w:name="Tc_P62LFxJoU0ayap-F29LP8g_14_0"/>
      <w:bookmarkStart w:id="53" w:name="Tc_Iw-6eLbETU6BOxit7W7fjA_13_0"/>
      <w:bookmarkStart w:id="54" w:name="Tc_2zcgFTE8PkO85mMAdo2sKg_12_2"/>
      <w:bookmarkStart w:id="55" w:name="Tc_qjfFqZNo-UyUh1NmH-C14A_12_0"/>
      <w:bookmarkStart w:id="56" w:name="Tc_3nzjjFKV-kiny6WO8HMAgw_11_0"/>
      <w:bookmarkStart w:id="57" w:name="Tc_306l7M3A0ESPuykr7wdv-Q_10_0"/>
      <w:bookmarkStart w:id="58" w:name="Tc_Dn5ojSAQwUK9WLSVNTiU7A_9_0"/>
      <w:bookmarkStart w:id="59" w:name="Tc_qvHgVTr5Mk-bPDgM8GjUJg_8_2"/>
      <w:bookmarkStart w:id="60" w:name="Tc_57UvurnjnkeY5MME9DJCyg_8_0"/>
      <w:bookmarkStart w:id="61" w:name="Tc__9rtlIJPiUmqfV9mzAG75A_7_0"/>
      <w:bookmarkStart w:id="62" w:name="Tc_nPDug_jfCEmPOM0Wt_e5QA_6_0"/>
      <w:bookmarkStart w:id="63" w:name="Tc_g2e27bmnA0yOGtarA05UVA_5_0"/>
      <w:bookmarkStart w:id="64" w:name="Tc_eIMG4HD23kGSTv_AufuuNQ_4_6"/>
      <w:bookmarkStart w:id="65" w:name="Tc__mLwVIjEeE-BQ0Gg_OFkWw_4_4"/>
      <w:bookmarkStart w:id="66" w:name="Tc_7BKPZRVPPE-6BrV8-7jM1w_3_6"/>
      <w:bookmarkStart w:id="67" w:name="Tc_DB4coYrViESduE02FckNJQ_3_4"/>
      <w:bookmarkStart w:id="68" w:name="Tc_u1hfYf27x0ypwkeU03b14w_3_2"/>
      <w:bookmarkStart w:id="69" w:name="Tc_-QgiiNzxJECj44LibbbLyw_2_4"/>
      <w:bookmarkStart w:id="70" w:name="Tc_hAzqx8QG7EaZ8IBSdrPDlw_1_4"/>
      <w:bookmarkStart w:id="71" w:name="_3186ea4c_7eef_48e5_9d94_6dbc148bd87b"/>
      <w:bookmarkStart w:id="72" w:name="_d3afc02e_682b_4389_8d60_85d861896632"/>
      <w:bookmarkStart w:id="73" w:name="Tc_B3GAG5xr6kuoM0lhy1Uc8g_29_2"/>
      <w:bookmarkStart w:id="74" w:name="Tc_pl4pu36TX0KL7adsiy9NPA_29_0"/>
      <w:bookmarkStart w:id="75" w:name="Tc_Jkd4g2zhvUybcO-lE38v8w_28_0"/>
      <w:bookmarkStart w:id="76" w:name="Tc_479yXgWssUm317FVK4p29A_27_0"/>
      <w:bookmarkStart w:id="77" w:name="Tc_yJgB7mE_SEWXF27qv-WITw_26_0"/>
      <w:bookmarkStart w:id="78" w:name="Tc_YqURIWg-uUyI7OFVlwXjhQ_25_2"/>
      <w:bookmarkStart w:id="79" w:name="Tc_TNgYgAXv1UO7B6082doq0w_25_0"/>
      <w:bookmarkStart w:id="80" w:name="Tc_4Ek_3u9Ow0aPqkTHMw8SFg_24_0"/>
      <w:bookmarkStart w:id="81" w:name="Tc_O_A8nB8-fE-mz6IruMOvjg_23_2"/>
      <w:bookmarkStart w:id="82" w:name="Tc_YlE_TgEXqUaevUWBAdjC3w_23_0"/>
      <w:bookmarkStart w:id="83" w:name="Tc_65i5N8uCoUKWoHtyL8wTjQ_22_2"/>
      <w:bookmarkStart w:id="84" w:name="Tc_W3omqIh9ckugOLLHfx7JUQ_22_0"/>
      <w:bookmarkStart w:id="85" w:name="Tc_wqeZQJlJ30iP5Cup-DRINA_21_0"/>
      <w:bookmarkStart w:id="86" w:name="Tc_Up7ZEK0oKUuTNjbxnAAPOQ_20_0"/>
      <w:bookmarkStart w:id="87" w:name="Tc_53soTnqtK028TkmmiIGmFQ_19_0"/>
      <w:bookmarkStart w:id="88" w:name="Tc_jSBDsaS7Bk6NJ1VSsh7V0A_18_0"/>
      <w:bookmarkStart w:id="89" w:name="Tc_j2dZ_1wZvUSYEEZqgeF53A_17_2"/>
      <w:bookmarkStart w:id="90" w:name="Tc_dWW9ezvcJ0qzENSSqrNdAw_17_0"/>
      <w:bookmarkStart w:id="91" w:name="Tc_XnPVaZY-D0uenfL8xe9btQ_16_2"/>
      <w:bookmarkStart w:id="92" w:name="Tc_sLpu37DMj06aPBBL7DONeg_16_0"/>
      <w:bookmarkStart w:id="93" w:name="Tc_jJqvz__idEGE8BcnOmq9aw_15_2"/>
      <w:bookmarkStart w:id="94" w:name="Tc_Hzpb-wZRREODXRYjfA7HGw_15_0"/>
      <w:bookmarkStart w:id="95" w:name="Tc_MGRIE1YW30Oz0osy5Yq3Xg_14_2"/>
      <w:bookmarkStart w:id="96" w:name="Tc_P62LFxJoU0ayap-F29LP8g_14_0"/>
      <w:bookmarkStart w:id="97" w:name="Tc_Iw-6eLbETU6BOxit7W7fjA_13_0"/>
      <w:bookmarkStart w:id="98" w:name="Tc_2zcgFTE8PkO85mMAdo2sKg_12_2"/>
      <w:bookmarkStart w:id="99" w:name="Tc_qjfFqZNo-UyUh1NmH-C14A_12_0"/>
      <w:bookmarkStart w:id="100" w:name="Tc_3nzjjFKV-kiny6WO8HMAgw_11_0"/>
      <w:bookmarkStart w:id="101" w:name="Tc_306l7M3A0ESPuykr7wdv-Q_10_0"/>
      <w:bookmarkStart w:id="102" w:name="Tc_Dn5ojSAQwUK9WLSVNTiU7A_9_0"/>
      <w:bookmarkStart w:id="103" w:name="Tc_qvHgVTr5Mk-bPDgM8GjUJg_8_2"/>
      <w:bookmarkStart w:id="104" w:name="Tc_57UvurnjnkeY5MME9DJCyg_8_0"/>
      <w:bookmarkStart w:id="105" w:name="Tc__9rtlIJPiUmqfV9mzAG75A_7_0"/>
      <w:bookmarkStart w:id="106" w:name="Tc_nPDug_jfCEmPOM0Wt_e5QA_6_0"/>
      <w:bookmarkStart w:id="107" w:name="Tc_g2e27bmnA0yOGtarA05UVA_5_0"/>
      <w:bookmarkStart w:id="108" w:name="Tc_eIMG4HD23kGSTv_AufuuNQ_4_6"/>
      <w:bookmarkStart w:id="109" w:name="Tc__mLwVIjEeE-BQ0Gg_OFkWw_4_4"/>
      <w:bookmarkStart w:id="110" w:name="Tc_7BKPZRVPPE-6BrV8-7jM1w_3_6"/>
      <w:bookmarkStart w:id="111" w:name="Tc_DB4coYrViESduE02FckNJQ_3_4"/>
      <w:bookmarkStart w:id="112" w:name="Tc_u1hfYf27x0ypwkeU03b14w_3_2"/>
      <w:bookmarkStart w:id="113" w:name="Tc_-QgiiNzxJECj44LibbbLyw_2_4"/>
      <w:bookmarkStart w:id="114" w:name="Tc_hAzqx8QG7EaZ8IBSdrPDlw_1_4"/>
      <w:bookmarkStart w:id="115" w:name="_3186ea4c_7eef_48e5_9d94_6dbc148bd87b"/>
      <w:bookmarkStart w:id="116" w:name="_d3afc02e_682b_4389_8d60_85d86189663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W w:w="10205" w:type="dxa"/>
        <w:jc w:val="left"/>
        <w:tblInd w:w="0" w:type="dxa"/>
        <w:tblLayout w:type="fixed"/>
        <w:tblCellMar>
          <w:top w:w="0" w:type="dxa"/>
          <w:left w:w="0" w:type="dxa"/>
          <w:bottom w:w="0" w:type="dxa"/>
          <w:right w:w="0" w:type="dxa"/>
        </w:tblCellMar>
      </w:tblPr>
      <w:tblGrid>
        <w:gridCol w:w="6668"/>
        <w:gridCol w:w="346"/>
        <w:gridCol w:w="655"/>
        <w:gridCol w:w="346"/>
        <w:gridCol w:w="899"/>
        <w:gridCol w:w="346"/>
        <w:gridCol w:w="945"/>
      </w:tblGrid>
      <w:tr>
        <w:trPr/>
        <w:tc>
          <w:tcPr>
            <w:tcW w:w="6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34180" cy="175260"/>
                      <wp:effectExtent l="0" t="0" r="0" b="0"/>
                      <wp:wrapNone/>
                      <wp:docPr id="112" name="Frame111"/>
                      <a:graphic xmlns:a="http://schemas.openxmlformats.org/drawingml/2006/main">
                        <a:graphicData uri="http://schemas.microsoft.com/office/word/2010/wordprocessingShape">
                          <wps:wsp>
                            <wps:cNvSpPr txBox="1"/>
                            <wps:spPr>
                              <a:xfrm>
                                <a:off x="0" y="0"/>
                                <a:ext cx="423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15925" cy="175260"/>
                      <wp:effectExtent l="0" t="0" r="0" b="0"/>
                      <wp:wrapNone/>
                      <wp:docPr id="114" name="Frame113"/>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70865" cy="175260"/>
                      <wp:effectExtent l="0" t="0" r="0" b="0"/>
                      <wp:wrapNone/>
                      <wp:docPr id="116" name="Frame11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00075" cy="175260"/>
                      <wp:effectExtent l="0" t="0" r="0" b="0"/>
                      <wp:wrapNone/>
                      <wp:docPr id="118" name="Frame11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9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6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46" w:type="dxa"/>
            <w:tcBorders/>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69,281</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112,783</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130,334</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233,074</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89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199,615</w:t>
            </w:r>
          </w:p>
        </w:tc>
        <w:tc>
          <w:tcPr>
            <w:tcW w:w="346" w:type="dxa"/>
            <w:tcBorders/>
            <w:vAlign w:val="center"/>
          </w:tcPr>
          <w:p>
            <w:pPr>
              <w:pStyle w:val="TableContents"/>
              <w:bidi w:val="0"/>
              <w:spacing w:before="0" w:after="0"/>
              <w:ind w:left="0" w:right="0" w:hanging="0"/>
              <w:jc w:val="left"/>
              <w:rPr/>
            </w:pPr>
            <w:r>
              <w:rPr/>
              <w:t> </w:t>
            </w:r>
          </w:p>
        </w:tc>
        <w:tc>
          <w:tcPr>
            <w:tcW w:w="94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345,857</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5"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(35,461)</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(75,578)</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(103,095)</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(143,806)</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revenue</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(138,556)</w:t>
            </w:r>
          </w:p>
        </w:tc>
        <w:tc>
          <w:tcPr>
            <w:tcW w:w="346" w:type="dxa"/>
            <w:tcBorders/>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(219,384)</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61,059</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126,473</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 income</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22,612</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(644,635)</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(797,654)</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(278,942)</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(152,066)</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(27,780)</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(51,891)</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receivables and contract assets</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46" w:type="dxa"/>
            <w:tcBorders/>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(890,077)</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(852,910)</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foreign exchange gain/(loss)</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5,629</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(24,489)</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74,946</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98,506</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of financial assets at fair value through profit or loss (“FVTPL”)</w:t>
            </w:r>
          </w:p>
        </w:tc>
        <w:tc>
          <w:tcPr>
            <w:tcW w:w="34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23,154</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(5,909)</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(5,089)</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taxation</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(789,640)</w:t>
            </w:r>
          </w:p>
        </w:tc>
        <w:tc>
          <w:tcPr>
            <w:tcW w:w="346"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(789,891)</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(791,517)</w:t>
            </w:r>
          </w:p>
        </w:tc>
        <w:tc>
          <w:tcPr>
            <w:tcW w:w="346" w:type="dxa"/>
            <w:tcBorders/>
            <w:vAlign w:val="center"/>
          </w:tcPr>
          <w:p>
            <w:pPr>
              <w:pStyle w:val="TableContents"/>
              <w:bidi w:val="0"/>
              <w:spacing w:before="0" w:after="0"/>
              <w:ind w:left="0" w:right="0" w:hanging="0"/>
              <w:jc w:val="left"/>
              <w:rPr/>
            </w:pPr>
            <w:r>
              <w:rPr/>
              <w:t> </w:t>
            </w:r>
          </w:p>
        </w:tc>
        <w:tc>
          <w:tcPr>
            <w:tcW w:w="9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attributable to shareholders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(791,517)</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666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ordinary share</w:t>
            </w:r>
          </w:p>
        </w:tc>
        <w:tc>
          <w:tcPr>
            <w:tcW w:w="346"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r>
      <w:tr>
        <w:trPr/>
        <w:tc>
          <w:tcPr>
            <w:tcW w:w="6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Class A and Class B ordinary share (in RMB)</w:t>
            </w:r>
          </w:p>
        </w:tc>
        <w:tc>
          <w:tcPr>
            <w:tcW w:w="346" w:type="dxa"/>
            <w:tcBorders/>
            <w:shd w:fill="CCEEFF" w:val="clear"/>
            <w:vAlign w:val="center"/>
          </w:tcPr>
          <w:p>
            <w:pPr>
              <w:pStyle w:val="TableContents"/>
              <w:bidi w:val="0"/>
              <w:spacing w:before="0" w:after="0"/>
              <w:ind w:left="0" w:right="0" w:hanging="0"/>
              <w:jc w:val="left"/>
              <w:rPr/>
            </w:pPr>
            <w:r>
              <w:rPr/>
              <w:t> </w:t>
            </w:r>
          </w:p>
        </w:tc>
        <w:tc>
          <w:tcPr>
            <w:tcW w:w="6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9(a)(ii)</w:t>
            </w:r>
          </w:p>
        </w:tc>
        <w:tc>
          <w:tcPr>
            <w:tcW w:w="346" w:type="dxa"/>
            <w:tcBorders/>
            <w:shd w:fill="CCEEFF" w:val="clear"/>
            <w:vAlign w:val="center"/>
          </w:tcPr>
          <w:p>
            <w:pPr>
              <w:pStyle w:val="TableContents"/>
              <w:bidi w:val="0"/>
              <w:spacing w:before="0" w:after="0"/>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346" w:type="dxa"/>
            <w:tcBorders/>
            <w:shd w:fill="CCEEFF" w:val="clear"/>
            <w:vAlign w:val="center"/>
          </w:tcPr>
          <w:p>
            <w:pPr>
              <w:pStyle w:val="TableContents"/>
              <w:bidi w:val="0"/>
              <w:spacing w:before="0" w:after="0"/>
              <w:ind w:left="0" w:right="0" w:hanging="0"/>
              <w:jc w:val="left"/>
              <w:rPr/>
            </w:pPr>
            <w:r>
              <w:rPr/>
              <w:t> </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 w:name="ProfitorLossandOtherComprehensiveIncome_"/>
      <w:bookmarkStart w:id="118" w:name="_3b4b91ff_bcba_4433_8d00_216ea08fad2b"/>
      <w:bookmarkEnd w:id="117"/>
      <w:bookmarkEnd w:id="118"/>
      <w:r>
        <w:rPr>
          <w:rFonts w:ascii="Times New Roman;Times;serif" w:hAnsi="Times New Roman;Times;serif"/>
          <w:b/>
          <w:sz w:val="20"/>
        </w:rPr>
        <w:t>UNAUDITED CONDENSED CONSOLIDATED STATEMENT OF PROFIT OR LOSS AND OTHER COMPREHENSIVE INCOME</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Normal"/>
        <w:bidi w:val="0"/>
        <w:spacing w:before="0" w:after="0"/>
        <w:jc w:val="left"/>
        <w:rPr>
          <w:sz w:val="4"/>
          <w:szCs w:val="4"/>
        </w:rPr>
      </w:pPr>
      <w:r>
        <w:rPr>
          <w:sz w:val="4"/>
          <w:szCs w:val="4"/>
        </w:rPr>
      </w:r>
      <w:bookmarkStart w:id="119" w:name="Tc_KD53Vbbx60GHPaBzQVDYmQ_13_0"/>
      <w:bookmarkStart w:id="120" w:name="Tc_PFEcZRtB9EO2Oon7-PSwvg_12_0"/>
      <w:bookmarkStart w:id="121" w:name="Tc_54p5VgO_Vk25boDKNJv7xw_11_0"/>
      <w:bookmarkStart w:id="122" w:name="Tc_qzDv7qCWQkqMi1MqSR1yHA_10_4"/>
      <w:bookmarkStart w:id="123" w:name="Tc_41fxFzAjzkSql8EhzS4XBg_10_0"/>
      <w:bookmarkStart w:id="124" w:name="Tc_Ar2qQ5v2ckqJBusVGIyepA_9_0"/>
      <w:bookmarkStart w:id="125" w:name="Tc_mq1aNXm4eUaLLh42Ek6XmQ_8_0"/>
      <w:bookmarkStart w:id="126" w:name="Tc_hMs9IBkN-0uw_GDrsKsldg_7_0"/>
      <w:bookmarkStart w:id="127" w:name="Tc_7vJgMF1ks0Op31-TSRMDDg_6_0"/>
      <w:bookmarkStart w:id="128" w:name="Tc_2QUXqcwflk69FcKrBKxBGg_5_0"/>
      <w:bookmarkStart w:id="129" w:name="Tc_hEUD7xLTBkipIh2OIoundg_4_6"/>
      <w:bookmarkStart w:id="130" w:name="Tc_EjVJbmf4n0Wl4uYccYvymg_4_4"/>
      <w:bookmarkStart w:id="131" w:name="Tc_isweTUXtlkKQ6SerB3227Q_3_6"/>
      <w:bookmarkStart w:id="132" w:name="Tc_mQiwcOMdF02M7nqK1540XA_3_4"/>
      <w:bookmarkStart w:id="133" w:name="Tc_TDsPeWk76kWFcduaaKt8Gw_3_2"/>
      <w:bookmarkStart w:id="134" w:name="Tc_5Z9oUaRad0K6YXN9g0KhHQ_2_4"/>
      <w:bookmarkStart w:id="135" w:name="Tc_6WsN46HMu0WFa0Feurh24w_1_4"/>
      <w:bookmarkStart w:id="136" w:name="_03880af0_7c8d_45dd_9fb5_b34cc769616b"/>
      <w:bookmarkStart w:id="137" w:name="Tc_KD53Vbbx60GHPaBzQVDYmQ_13_0"/>
      <w:bookmarkStart w:id="138" w:name="Tc_PFEcZRtB9EO2Oon7-PSwvg_12_0"/>
      <w:bookmarkStart w:id="139" w:name="Tc_54p5VgO_Vk25boDKNJv7xw_11_0"/>
      <w:bookmarkStart w:id="140" w:name="Tc_qzDv7qCWQkqMi1MqSR1yHA_10_4"/>
      <w:bookmarkStart w:id="141" w:name="Tc_41fxFzAjzkSql8EhzS4XBg_10_0"/>
      <w:bookmarkStart w:id="142" w:name="Tc_Ar2qQ5v2ckqJBusVGIyepA_9_0"/>
      <w:bookmarkStart w:id="143" w:name="Tc_mq1aNXm4eUaLLh42Ek6XmQ_8_0"/>
      <w:bookmarkStart w:id="144" w:name="Tc_hMs9IBkN-0uw_GDrsKsldg_7_0"/>
      <w:bookmarkStart w:id="145" w:name="Tc_7vJgMF1ks0Op31-TSRMDDg_6_0"/>
      <w:bookmarkStart w:id="146" w:name="Tc_2QUXqcwflk69FcKrBKxBGg_5_0"/>
      <w:bookmarkStart w:id="147" w:name="Tc_hEUD7xLTBkipIh2OIoundg_4_6"/>
      <w:bookmarkStart w:id="148" w:name="Tc_EjVJbmf4n0Wl4uYccYvymg_4_4"/>
      <w:bookmarkStart w:id="149" w:name="Tc_isweTUXtlkKQ6SerB3227Q_3_6"/>
      <w:bookmarkStart w:id="150" w:name="Tc_mQiwcOMdF02M7nqK1540XA_3_4"/>
      <w:bookmarkStart w:id="151" w:name="Tc_TDsPeWk76kWFcduaaKt8Gw_3_2"/>
      <w:bookmarkStart w:id="152" w:name="Tc_5Z9oUaRad0K6YXN9g0KhHQ_2_4"/>
      <w:bookmarkStart w:id="153" w:name="Tc_6WsN46HMu0WFa0Feurh24w_1_4"/>
      <w:bookmarkStart w:id="154" w:name="_03880af0_7c8d_45dd_9fb5_b34cc769616b"/>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087" w:type="dxa"/>
        <w:jc w:val="left"/>
        <w:tblInd w:w="0" w:type="dxa"/>
        <w:tblLayout w:type="fixed"/>
        <w:tblCellMar>
          <w:top w:w="0" w:type="dxa"/>
          <w:left w:w="0" w:type="dxa"/>
          <w:bottom w:w="0" w:type="dxa"/>
          <w:right w:w="0" w:type="dxa"/>
        </w:tblCellMar>
      </w:tblPr>
      <w:tblGrid>
        <w:gridCol w:w="6766"/>
        <w:gridCol w:w="346"/>
        <w:gridCol w:w="436"/>
        <w:gridCol w:w="346"/>
        <w:gridCol w:w="901"/>
        <w:gridCol w:w="346"/>
        <w:gridCol w:w="94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6410" cy="175260"/>
                      <wp:effectExtent l="0" t="0" r="0" b="0"/>
                      <wp:wrapNone/>
                      <wp:docPr id="119" name="Frame118"/>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76860" cy="175260"/>
                      <wp:effectExtent l="0" t="0" r="0" b="0"/>
                      <wp:wrapNone/>
                      <wp:docPr id="121" name="Frame12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2135" cy="175260"/>
                      <wp:effectExtent l="0" t="0" r="0" b="0"/>
                      <wp:wrapNone/>
                      <wp:docPr id="123" name="Frame1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00710" cy="175260"/>
                      <wp:effectExtent l="0" t="0" r="0" b="0"/>
                      <wp:wrapNone/>
                      <wp:docPr id="125" name="Frame1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9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(791,517)</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67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Other comprehensive income for the period (net of nil</w:t>
            </w:r>
            <w:r>
              <w:rPr>
                <w:rFonts w:ascii="Times New Roman;Times;serif" w:hAnsi="Times New Roman;Times;serif"/>
                <w:sz w:val="20"/>
              </w:rPr>
              <w:t xml:space="preserve"> </w:t>
            </w:r>
            <w:r>
              <w:rPr>
                <w:rFonts w:ascii="Times New Roman;Times;serif" w:hAnsi="Times New Roman;Times;serif"/>
                <w:b/>
                <w:sz w:val="20"/>
              </w:rPr>
              <w:t>tax):</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Items that will not be reclassified to profit or loss:</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Exchange differences on translation of financial statements of foreign operations</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(153,164)</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Items that will be reclassified to profit or loss:</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66"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Exchange differences on translation of financial statements of foreign operations</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(18,942)</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(172,106)</w:t>
            </w:r>
          </w:p>
        </w:tc>
      </w:tr>
      <w:tr>
        <w:trPr/>
        <w:tc>
          <w:tcPr>
            <w:tcW w:w="67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for the period</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(820,592)</w:t>
            </w:r>
          </w:p>
        </w:tc>
        <w:tc>
          <w:tcPr>
            <w:tcW w:w="346" w:type="dxa"/>
            <w:tcBorders/>
            <w:vAlign w:val="center"/>
          </w:tcPr>
          <w:p>
            <w:pPr>
              <w:pStyle w:val="TableContents"/>
              <w:bidi w:val="0"/>
              <w:spacing w:before="0" w:after="0"/>
              <w:ind w:left="0" w:right="0" w:hanging="0"/>
              <w:jc w:val="left"/>
              <w:rPr/>
            </w:pPr>
            <w:r>
              <w:rPr/>
              <w:t> </w:t>
            </w:r>
          </w:p>
        </w:tc>
        <w:tc>
          <w:tcPr>
            <w:tcW w:w="94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(961,856)</w:t>
            </w:r>
          </w:p>
        </w:tc>
      </w:tr>
      <w:tr>
        <w:trPr/>
        <w:tc>
          <w:tcPr>
            <w:tcW w:w="6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attributable to shareholders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(820,592)</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(961,856)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ConsolidatedStatementsofFinancialPositio"/>
      <w:bookmarkStart w:id="156" w:name="_ff163cda_2376_43e0_b135_c6e070914e20"/>
      <w:bookmarkEnd w:id="155"/>
      <w:bookmarkEnd w:id="156"/>
      <w:r>
        <w:rPr>
          <w:rFonts w:ascii="Times New Roman;Times;serif" w:hAnsi="Times New Roman;Times;serif"/>
          <w:b/>
          <w:sz w:val="20"/>
        </w:rPr>
        <w:t>UNAUDITED CONDENSED CONSOLIDATED STATEMENT OF FINANCIAL POSITION</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Normal"/>
        <w:bidi w:val="0"/>
        <w:spacing w:before="0" w:after="0"/>
        <w:jc w:val="left"/>
        <w:rPr>
          <w:sz w:val="4"/>
          <w:szCs w:val="4"/>
        </w:rPr>
      </w:pPr>
      <w:r>
        <w:rPr>
          <w:sz w:val="4"/>
          <w:szCs w:val="4"/>
        </w:rPr>
      </w:r>
      <w:bookmarkStart w:id="157" w:name="Tc_WSSy3JciT0mSrpVyVQagkQ_33_0"/>
      <w:bookmarkStart w:id="158" w:name="Tc_ou63qDRcUkODbfjGSG_QOQ_32_2"/>
      <w:bookmarkStart w:id="159" w:name="Tc_J0HbKQzRnEGgP6s1Z1B69g_32_0"/>
      <w:bookmarkStart w:id="160" w:name="Tc_MPzbhxbGK0quqKQyYfU1yQ_31_2"/>
      <w:bookmarkStart w:id="161" w:name="Tc_SU0XlL-PCUq_qE70h4zYzA_31_0"/>
      <w:bookmarkStart w:id="162" w:name="Tc_aqn_Kf6-pEyK-5OF-hM9Iw_30_4"/>
      <w:bookmarkStart w:id="163" w:name="Tc_Ch86M2vOskOGWFkavDHdyw_30_2"/>
      <w:bookmarkStart w:id="164" w:name="Tc_lC4DjUoLQUGeF3m0LJdYeA_30_0"/>
      <w:bookmarkStart w:id="165" w:name="Tc_Mc86X7XcLEKiRgizvta5Gg_29_0"/>
      <w:bookmarkStart w:id="166" w:name="Tc_1-aU4C97qkWu01LIV1jRbg_28_2"/>
      <w:bookmarkStart w:id="167" w:name="Tc_KXXu6XP4wESUdu6MOBr6BQ_28_0"/>
      <w:bookmarkStart w:id="168" w:name="Tc_f-ViPGZZA0m5DJ99Vz8D4g_27_2"/>
      <w:bookmarkStart w:id="169" w:name="Tc_jyug3rslTUGcwwTBHUFtfQ_27_0"/>
      <w:bookmarkStart w:id="170" w:name="Tc_MHB2-JGKL0yQNwI87_nA-A_26_0"/>
      <w:bookmarkStart w:id="171" w:name="Tc_oBPawNpeQEuvHZ3N2mqNQg_25_0"/>
      <w:bookmarkStart w:id="172" w:name="Tc_XxK9CFSQX0qxh7WQc9SgCg_23_2"/>
      <w:bookmarkStart w:id="173" w:name="Tc_qK0h_ME5o0mMhAsjpORXgQ_23_0"/>
      <w:bookmarkStart w:id="174" w:name="Tc_xQRtONfHpEmxtrK2Bv9RJg_22_2"/>
      <w:bookmarkStart w:id="175" w:name="Tc_lEvLfCyZ30yF51DS0kQSIQ_22_0"/>
      <w:bookmarkStart w:id="176" w:name="Tc_cpLJRdAFeEaEKNWhxrQnQg_21_2"/>
      <w:bookmarkStart w:id="177" w:name="Tc_IgPf69roWEuz3ck0iGW85A_21_0"/>
      <w:bookmarkStart w:id="178" w:name="Tc_9YmxkRtxo0OTIQcqdmL0JQ_20_2"/>
      <w:bookmarkStart w:id="179" w:name="Tc_J1aICzW-L0ih-wXcTbHOew_20_0"/>
      <w:bookmarkStart w:id="180" w:name="Tc_raQJKchRtkyoVE-Bl9EgeA_19_2"/>
      <w:bookmarkStart w:id="181" w:name="Tc_2SfsDnmp90SQ1ABL7J6psg_19_0"/>
      <w:bookmarkStart w:id="182" w:name="Tc_aRvBR5yV_EeSJH1SHo2CCw_18_2"/>
      <w:bookmarkStart w:id="183" w:name="Tc_SO22Z-YQqEeFjcJsoXSlxw_18_0"/>
      <w:bookmarkStart w:id="184" w:name="Tc_3KhkOcUS5UCFlXcMXWoxlA_17_2"/>
      <w:bookmarkStart w:id="185" w:name="Tc_ndZKgaGWc0-kP34DWLneZA_17_0"/>
      <w:bookmarkStart w:id="186" w:name="Tc_GNGhNWG9m0OrljTXZLxsUg_16_2"/>
      <w:bookmarkStart w:id="187" w:name="Tc_Tqr8BvajZEaxd4HuH1bbdg_16_0"/>
      <w:bookmarkStart w:id="188" w:name="Tc_OMJbdUy7_0WtuVq3HHxRyA_15_2"/>
      <w:bookmarkStart w:id="189" w:name="Tc_UVds_H_PGUWp6PtlOkmQnQ_15_0"/>
      <w:bookmarkStart w:id="190" w:name="Tc_Z3vM3egDMk6xKPIAbNYIQw_14_0"/>
      <w:bookmarkStart w:id="191" w:name="Tc_6x6rtKMwcEiE0LzaLw2mpw_12_2"/>
      <w:bookmarkStart w:id="192" w:name="Tc_69Ko58jc20SgszvngGeuvw_12_0"/>
      <w:bookmarkStart w:id="193" w:name="Tc_ENdk4x9F2UWvtzhyLI98JQ_11_2"/>
      <w:bookmarkStart w:id="194" w:name="Tc_Aaxp15FjbESJ56zn-YU-JA_11_0"/>
      <w:bookmarkStart w:id="195" w:name="Tc_yPvPBvhm2kamsb-E-7xMxg_10_2"/>
      <w:bookmarkStart w:id="196" w:name="Tc_y-c6yqY8mEW6d_y22IEIXw_10_0"/>
      <w:bookmarkStart w:id="197" w:name="Tc_oDKqxRJF_UW60-bniGvSSQ_9_0"/>
      <w:bookmarkStart w:id="198" w:name="Tc_rtJbU7Fjuk6IaAW2Nkkn4w_8_0"/>
      <w:bookmarkStart w:id="199" w:name="Tc_9XyxZbe_aUOfjmVCpOvJnQ_7_2"/>
      <w:bookmarkStart w:id="200" w:name="Tc_vR_EVZaihU-2vyyKr3ySZw_7_0"/>
      <w:bookmarkStart w:id="201" w:name="Tc_eW40lSYZZEmFxO2OwYbqYQ_6_2"/>
      <w:bookmarkStart w:id="202" w:name="Tc_XRZZesjJ_0KWlwRmTNs8Jg_6_0"/>
      <w:bookmarkStart w:id="203" w:name="Tc_U2mtu1u6xU6AXJthiCsepw_5_0"/>
      <w:bookmarkStart w:id="204" w:name="Tc_IcJArqzuvE2yFus6FBdSsA_4_0"/>
      <w:bookmarkStart w:id="205" w:name="Tc_dbv7VbLxtUCJA2mJUgBBXw_3_6"/>
      <w:bookmarkStart w:id="206" w:name="Tc_orzlKDDfDU-KKmhhTSelzg_3_4"/>
      <w:bookmarkStart w:id="207" w:name="Tc_732SFA1SAkuPnxD6C1vC_A_2_6"/>
      <w:bookmarkStart w:id="208" w:name="Tc_BVgz-NyUT0mO_DHwWcZXQw_2_4"/>
      <w:bookmarkStart w:id="209" w:name="Tc_r4hfIvGFAEejhNUi25UibA_2_2"/>
      <w:bookmarkStart w:id="210" w:name="Tc_NP9-WRbk-0WN2JUlgSBQdw_1_6"/>
      <w:bookmarkStart w:id="211" w:name="Tc_4rCLdnVn30qxMcebOLpURg_1_4"/>
      <w:bookmarkStart w:id="212" w:name="_ff81c94f_dd6b_48ba_909b_255448f4b533"/>
      <w:bookmarkStart w:id="213" w:name="Tc_WSSy3JciT0mSrpVyVQagkQ_33_0"/>
      <w:bookmarkStart w:id="214" w:name="Tc_ou63qDRcUkODbfjGSG_QOQ_32_2"/>
      <w:bookmarkStart w:id="215" w:name="Tc_J0HbKQzRnEGgP6s1Z1B69g_32_0"/>
      <w:bookmarkStart w:id="216" w:name="Tc_MPzbhxbGK0quqKQyYfU1yQ_31_2"/>
      <w:bookmarkStart w:id="217" w:name="Tc_SU0XlL-PCUq_qE70h4zYzA_31_0"/>
      <w:bookmarkStart w:id="218" w:name="Tc_aqn_Kf6-pEyK-5OF-hM9Iw_30_4"/>
      <w:bookmarkStart w:id="219" w:name="Tc_Ch86M2vOskOGWFkavDHdyw_30_2"/>
      <w:bookmarkStart w:id="220" w:name="Tc_lC4DjUoLQUGeF3m0LJdYeA_30_0"/>
      <w:bookmarkStart w:id="221" w:name="Tc_Mc86X7XcLEKiRgizvta5Gg_29_0"/>
      <w:bookmarkStart w:id="222" w:name="Tc_1-aU4C97qkWu01LIV1jRbg_28_2"/>
      <w:bookmarkStart w:id="223" w:name="Tc_KXXu6XP4wESUdu6MOBr6BQ_28_0"/>
      <w:bookmarkStart w:id="224" w:name="Tc_f-ViPGZZA0m5DJ99Vz8D4g_27_2"/>
      <w:bookmarkStart w:id="225" w:name="Tc_jyug3rslTUGcwwTBHUFtfQ_27_0"/>
      <w:bookmarkStart w:id="226" w:name="Tc_MHB2-JGKL0yQNwI87_nA-A_26_0"/>
      <w:bookmarkStart w:id="227" w:name="Tc_oBPawNpeQEuvHZ3N2mqNQg_25_0"/>
      <w:bookmarkStart w:id="228" w:name="Tc_XxK9CFSQX0qxh7WQc9SgCg_23_2"/>
      <w:bookmarkStart w:id="229" w:name="Tc_qK0h_ME5o0mMhAsjpORXgQ_23_0"/>
      <w:bookmarkStart w:id="230" w:name="Tc_xQRtONfHpEmxtrK2Bv9RJg_22_2"/>
      <w:bookmarkStart w:id="231" w:name="Tc_lEvLfCyZ30yF51DS0kQSIQ_22_0"/>
      <w:bookmarkStart w:id="232" w:name="Tc_cpLJRdAFeEaEKNWhxrQnQg_21_2"/>
      <w:bookmarkStart w:id="233" w:name="Tc_IgPf69roWEuz3ck0iGW85A_21_0"/>
      <w:bookmarkStart w:id="234" w:name="Tc_9YmxkRtxo0OTIQcqdmL0JQ_20_2"/>
      <w:bookmarkStart w:id="235" w:name="Tc_J1aICzW-L0ih-wXcTbHOew_20_0"/>
      <w:bookmarkStart w:id="236" w:name="Tc_raQJKchRtkyoVE-Bl9EgeA_19_2"/>
      <w:bookmarkStart w:id="237" w:name="Tc_2SfsDnmp90SQ1ABL7J6psg_19_0"/>
      <w:bookmarkStart w:id="238" w:name="Tc_aRvBR5yV_EeSJH1SHo2CCw_18_2"/>
      <w:bookmarkStart w:id="239" w:name="Tc_SO22Z-YQqEeFjcJsoXSlxw_18_0"/>
      <w:bookmarkStart w:id="240" w:name="Tc_3KhkOcUS5UCFlXcMXWoxlA_17_2"/>
      <w:bookmarkStart w:id="241" w:name="Tc_ndZKgaGWc0-kP34DWLneZA_17_0"/>
      <w:bookmarkStart w:id="242" w:name="Tc_GNGhNWG9m0OrljTXZLxsUg_16_2"/>
      <w:bookmarkStart w:id="243" w:name="Tc_Tqr8BvajZEaxd4HuH1bbdg_16_0"/>
      <w:bookmarkStart w:id="244" w:name="Tc_OMJbdUy7_0WtuVq3HHxRyA_15_2"/>
      <w:bookmarkStart w:id="245" w:name="Tc_UVds_H_PGUWp6PtlOkmQnQ_15_0"/>
      <w:bookmarkStart w:id="246" w:name="Tc_Z3vM3egDMk6xKPIAbNYIQw_14_0"/>
      <w:bookmarkStart w:id="247" w:name="Tc_6x6rtKMwcEiE0LzaLw2mpw_12_2"/>
      <w:bookmarkStart w:id="248" w:name="Tc_69Ko58jc20SgszvngGeuvw_12_0"/>
      <w:bookmarkStart w:id="249" w:name="Tc_ENdk4x9F2UWvtzhyLI98JQ_11_2"/>
      <w:bookmarkStart w:id="250" w:name="Tc_Aaxp15FjbESJ56zn-YU-JA_11_0"/>
      <w:bookmarkStart w:id="251" w:name="Tc_yPvPBvhm2kamsb-E-7xMxg_10_2"/>
      <w:bookmarkStart w:id="252" w:name="Tc_y-c6yqY8mEW6d_y22IEIXw_10_0"/>
      <w:bookmarkStart w:id="253" w:name="Tc_oDKqxRJF_UW60-bniGvSSQ_9_0"/>
      <w:bookmarkStart w:id="254" w:name="Tc_rtJbU7Fjuk6IaAW2Nkkn4w_8_0"/>
      <w:bookmarkStart w:id="255" w:name="Tc_9XyxZbe_aUOfjmVCpOvJnQ_7_2"/>
      <w:bookmarkStart w:id="256" w:name="Tc_vR_EVZaihU-2vyyKr3ySZw_7_0"/>
      <w:bookmarkStart w:id="257" w:name="Tc_eW40lSYZZEmFxO2OwYbqYQ_6_2"/>
      <w:bookmarkStart w:id="258" w:name="Tc_XRZZesjJ_0KWlwRmTNs8Jg_6_0"/>
      <w:bookmarkStart w:id="259" w:name="Tc_U2mtu1u6xU6AXJthiCsepw_5_0"/>
      <w:bookmarkStart w:id="260" w:name="Tc_IcJArqzuvE2yFus6FBdSsA_4_0"/>
      <w:bookmarkStart w:id="261" w:name="Tc_dbv7VbLxtUCJA2mJUgBBXw_3_6"/>
      <w:bookmarkStart w:id="262" w:name="Tc_orzlKDDfDU-KKmhhTSelzg_3_4"/>
      <w:bookmarkStart w:id="263" w:name="Tc_732SFA1SAkuPnxD6C1vC_A_2_6"/>
      <w:bookmarkStart w:id="264" w:name="Tc_BVgz-NyUT0mO_DHwWcZXQw_2_4"/>
      <w:bookmarkStart w:id="265" w:name="Tc_r4hfIvGFAEejhNUi25UibA_2_2"/>
      <w:bookmarkStart w:id="266" w:name="Tc_NP9-WRbk-0WN2JUlgSBQdw_1_6"/>
      <w:bookmarkStart w:id="267" w:name="Tc_4rCLdnVn30qxMcebOLpURg_1_4"/>
      <w:bookmarkStart w:id="268" w:name="_ff81c94f_dd6b_48ba_909b_255448f4b533"/>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8752" w:type="dxa"/>
        <w:jc w:val="left"/>
        <w:tblInd w:w="0" w:type="dxa"/>
        <w:tblLayout w:type="fixed"/>
        <w:tblCellMar>
          <w:top w:w="0" w:type="dxa"/>
          <w:left w:w="0" w:type="dxa"/>
          <w:bottom w:w="0" w:type="dxa"/>
          <w:right w:w="0" w:type="dxa"/>
        </w:tblCellMar>
      </w:tblPr>
      <w:tblGrid>
        <w:gridCol w:w="4396"/>
        <w:gridCol w:w="346"/>
        <w:gridCol w:w="541"/>
        <w:gridCol w:w="346"/>
        <w:gridCol w:w="1546"/>
        <w:gridCol w:w="346"/>
        <w:gridCol w:w="123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91460" cy="175260"/>
                      <wp:effectExtent l="0" t="0" r="0" b="0"/>
                      <wp:wrapNone/>
                      <wp:docPr id="126" name="Frame125"/>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43535" cy="175260"/>
                      <wp:effectExtent l="0" t="0" r="0" b="0"/>
                      <wp:wrapNone/>
                      <wp:docPr id="128" name="Frame12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81710" cy="175260"/>
                      <wp:effectExtent l="0" t="0" r="0" b="0"/>
                      <wp:wrapNone/>
                      <wp:docPr id="130" name="Frame12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81685" cy="175260"/>
                      <wp:effectExtent l="0" t="0" r="0" b="0"/>
                      <wp:wrapNone/>
                      <wp:docPr id="132" name="Frame13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3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center"/>
              <w:rPr/>
            </w:pPr>
            <w:r>
              <w:rPr/>
              <w:t>​</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378,769</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573,233</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65,870</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139,560</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17,966</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16,426</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44,758</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44,758</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10,988</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FVTPL–non-current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188,083</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252,411</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23,668</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89,964</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725,601</w:t>
            </w:r>
          </w:p>
        </w:tc>
        <w:tc>
          <w:tcPr>
            <w:tcW w:w="346" w:type="dxa"/>
            <w:tcBorders/>
            <w:vAlign w:val="center"/>
          </w:tcPr>
          <w:p>
            <w:pPr>
              <w:pStyle w:val="TableContents"/>
              <w:bidi w:val="0"/>
              <w:spacing w:before="0" w:after="0"/>
              <w:ind w:left="0" w:right="0" w:hanging="0"/>
              <w:jc w:val="left"/>
              <w:rPr/>
            </w:pPr>
            <w:r>
              <w:rPr/>
              <w:t> </w:t>
            </w:r>
          </w:p>
        </w:tc>
        <w:tc>
          <w:tcPr>
            <w:tcW w:w="12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1,127,340</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321,021</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439,112</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14(a)</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23,305</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23,964</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462,135</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455,765</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269,986</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303,486</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to and amounts due from related parties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27(c)</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9,010</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18,217</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FVTPL – current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144,252</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2,293</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301,401</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1,099,805</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6,666,304</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4,275,014</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current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10,420</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8,210,324</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6,628,076</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8,935,925</w:t>
            </w:r>
          </w:p>
        </w:tc>
        <w:tc>
          <w:tcPr>
            <w:tcW w:w="346" w:type="dxa"/>
            <w:tcBorders/>
            <w:vAlign w:val="center"/>
          </w:tcPr>
          <w:p>
            <w:pPr>
              <w:pStyle w:val="TableContents"/>
              <w:bidi w:val="0"/>
              <w:spacing w:before="0" w:after="0"/>
              <w:ind w:left="0" w:right="0" w:hanging="0"/>
              <w:jc w:val="left"/>
              <w:rPr/>
            </w:pPr>
            <w:r>
              <w:rPr/>
              <w:t> </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7,755,416</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23(a)</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23(a)</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premium</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14,962,531</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14,985,114</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23(b)</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(684,809)</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23(c)</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3,223,822</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3,170,926</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losses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23(c)</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(10,286,252)</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(11,076,002)</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7,900,174</w:t>
            </w:r>
          </w:p>
        </w:tc>
        <w:tc>
          <w:tcPr>
            <w:tcW w:w="346" w:type="dxa"/>
            <w:tcBorders/>
            <w:vAlign w:val="center"/>
          </w:tcPr>
          <w:p>
            <w:pPr>
              <w:pStyle w:val="TableContents"/>
              <w:bidi w:val="0"/>
              <w:spacing w:before="0" w:after="0"/>
              <w:ind w:left="0" w:right="0" w:hanging="0"/>
              <w:jc w:val="left"/>
              <w:rPr/>
            </w:pPr>
            <w:r>
              <w:rPr/>
              <w:t> </w:t>
            </w:r>
          </w:p>
        </w:tc>
        <w:tc>
          <w:tcPr>
            <w:tcW w:w="12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6,395,302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9" w:name="FinancialPositioncontinued_529120"/>
      <w:bookmarkStart w:id="270" w:name="_b1b8341a_be3d_45d8_ba6f_67adf191d57a"/>
      <w:bookmarkEnd w:id="269"/>
      <w:bookmarkEnd w:id="270"/>
      <w:r>
        <w:rPr>
          <w:rFonts w:ascii="Times New Roman;Times;serif" w:hAnsi="Times New Roman;Times;serif"/>
          <w:b/>
          <w:sz w:val="20"/>
        </w:rPr>
        <w:t>UNAUDITED CONDENSED CONSOLIDATED STATEMENT OF FINANCIAL POSITION</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Normal"/>
        <w:bidi w:val="0"/>
        <w:spacing w:before="0" w:after="0"/>
        <w:jc w:val="left"/>
        <w:rPr>
          <w:sz w:val="4"/>
          <w:szCs w:val="4"/>
        </w:rPr>
      </w:pPr>
      <w:r>
        <w:rPr>
          <w:sz w:val="4"/>
          <w:szCs w:val="4"/>
        </w:rPr>
      </w:r>
      <w:bookmarkStart w:id="271" w:name="Tc_lFNdSuGV5kmywWzVfkY-Yw_21_0"/>
      <w:bookmarkStart w:id="272" w:name="Tc_bJTy2K3J10qJ1VG-qwB9pA_20_0"/>
      <w:bookmarkStart w:id="273" w:name="Tc_cMi3YfE5ekqQ94llmbH2dQ_19_0"/>
      <w:bookmarkStart w:id="274" w:name="Tc_t-4srRPCf0Wd3hOfWCJEiA_17_2"/>
      <w:bookmarkStart w:id="275" w:name="Tc_axVAxUPnYkSldSy1rcOKPQ_17_0"/>
      <w:bookmarkStart w:id="276" w:name="Tc_RYhibic4Ekmlg__SXJLXNg_16_2"/>
      <w:bookmarkStart w:id="277" w:name="Tc_S9esNJohrkum9OTOpaVsXQ_16_0"/>
      <w:bookmarkStart w:id="278" w:name="Tc_gzN5PJQlDkGT8RCkJNWKNA_15_0"/>
      <w:bookmarkStart w:id="279" w:name="Tc_oZ9ResOCSk2BLMlY4_2CiA_14_2"/>
      <w:bookmarkStart w:id="280" w:name="Tc_LnKLoT891k6Jzd9zRxAUCA_14_0"/>
      <w:bookmarkStart w:id="281" w:name="Tc_1Wr__LwpwEqeZ3tl9rqDFg_13_2"/>
      <w:bookmarkStart w:id="282" w:name="Tc_2rCx4yQjx0yOV7NACJq_4w_13_0"/>
      <w:bookmarkStart w:id="283" w:name="Tc_1pIKE3tOvUawazO6qOokoQ_12_2"/>
      <w:bookmarkStart w:id="284" w:name="Tc_bN6Ra36OoEir7IeUveJwzQ_12_0"/>
      <w:bookmarkStart w:id="285" w:name="Tc_ETFJjBsGG0Ojp4Zgam-xZg_11_2"/>
      <w:bookmarkStart w:id="286" w:name="Tc_97Z79umvx0aXr-TZc2BcTw_11_0"/>
      <w:bookmarkStart w:id="287" w:name="Tc__4VJC6TLz0OlTert4nbqYg_10_0"/>
      <w:bookmarkStart w:id="288" w:name="Tc_352mItHDO0-5vaPq9G_RTA_8_2"/>
      <w:bookmarkStart w:id="289" w:name="Tc_CJMzIbuQU0aAbAuYUcoMCw_8_0"/>
      <w:bookmarkStart w:id="290" w:name="Tc_i3eNNUJfSUurJ8rhK_CMzQ_7_0"/>
      <w:bookmarkStart w:id="291" w:name="Tc_6w1DK8lmBke8bsP1RtlZ_A_6_0"/>
      <w:bookmarkStart w:id="292" w:name="Tc_HDLEcLZSmECqaFDflGyADg_5_0"/>
      <w:bookmarkStart w:id="293" w:name="Tc_3IqogYix_06mM8WWffNlwg_4_0"/>
      <w:bookmarkStart w:id="294" w:name="Tc_wmg18t4V40mEkGDApWpMow_3_6"/>
      <w:bookmarkStart w:id="295" w:name="Tc_hSjOVae5vU647IXUSOJY1w_3_4"/>
      <w:bookmarkStart w:id="296" w:name="Tc_aL5EKxyn60KStbdS73foVg_2_6"/>
      <w:bookmarkStart w:id="297" w:name="Tc_mBxcWM9aoU2oW6R34rDnQg_2_4"/>
      <w:bookmarkStart w:id="298" w:name="Tc_eU5eZS97okSEjhrXTz7Beg_2_2"/>
      <w:bookmarkStart w:id="299" w:name="Tc_MaZRT8TDaEamosiL7VdJcw_1_6"/>
      <w:bookmarkStart w:id="300" w:name="Tc_nMXcQrSEw02_aBk5BUPd9A_1_4"/>
      <w:bookmarkStart w:id="301" w:name="_f546866b_d84f_469d_99f7_b03153069620"/>
      <w:bookmarkStart w:id="302" w:name="Tc_lFNdSuGV5kmywWzVfkY-Yw_21_0"/>
      <w:bookmarkStart w:id="303" w:name="Tc_bJTy2K3J10qJ1VG-qwB9pA_20_0"/>
      <w:bookmarkStart w:id="304" w:name="Tc_cMi3YfE5ekqQ94llmbH2dQ_19_0"/>
      <w:bookmarkStart w:id="305" w:name="Tc_t-4srRPCf0Wd3hOfWCJEiA_17_2"/>
      <w:bookmarkStart w:id="306" w:name="Tc_axVAxUPnYkSldSy1rcOKPQ_17_0"/>
      <w:bookmarkStart w:id="307" w:name="Tc_RYhibic4Ekmlg__SXJLXNg_16_2"/>
      <w:bookmarkStart w:id="308" w:name="Tc_S9esNJohrkum9OTOpaVsXQ_16_0"/>
      <w:bookmarkStart w:id="309" w:name="Tc_gzN5PJQlDkGT8RCkJNWKNA_15_0"/>
      <w:bookmarkStart w:id="310" w:name="Tc_oZ9ResOCSk2BLMlY4_2CiA_14_2"/>
      <w:bookmarkStart w:id="311" w:name="Tc_LnKLoT891k6Jzd9zRxAUCA_14_0"/>
      <w:bookmarkStart w:id="312" w:name="Tc_1Wr__LwpwEqeZ3tl9rqDFg_13_2"/>
      <w:bookmarkStart w:id="313" w:name="Tc_2rCx4yQjx0yOV7NACJq_4w_13_0"/>
      <w:bookmarkStart w:id="314" w:name="Tc_1pIKE3tOvUawazO6qOokoQ_12_2"/>
      <w:bookmarkStart w:id="315" w:name="Tc_bN6Ra36OoEir7IeUveJwzQ_12_0"/>
      <w:bookmarkStart w:id="316" w:name="Tc_ETFJjBsGG0Ojp4Zgam-xZg_11_2"/>
      <w:bookmarkStart w:id="317" w:name="Tc_97Z79umvx0aXr-TZc2BcTw_11_0"/>
      <w:bookmarkStart w:id="318" w:name="Tc__4VJC6TLz0OlTert4nbqYg_10_0"/>
      <w:bookmarkStart w:id="319" w:name="Tc_352mItHDO0-5vaPq9G_RTA_8_2"/>
      <w:bookmarkStart w:id="320" w:name="Tc_CJMzIbuQU0aAbAuYUcoMCw_8_0"/>
      <w:bookmarkStart w:id="321" w:name="Tc_i3eNNUJfSUurJ8rhK_CMzQ_7_0"/>
      <w:bookmarkStart w:id="322" w:name="Tc_6w1DK8lmBke8bsP1RtlZ_A_6_0"/>
      <w:bookmarkStart w:id="323" w:name="Tc_HDLEcLZSmECqaFDflGyADg_5_0"/>
      <w:bookmarkStart w:id="324" w:name="Tc_3IqogYix_06mM8WWffNlwg_4_0"/>
      <w:bookmarkStart w:id="325" w:name="Tc_wmg18t4V40mEkGDApWpMow_3_6"/>
      <w:bookmarkStart w:id="326" w:name="Tc_hSjOVae5vU647IXUSOJY1w_3_4"/>
      <w:bookmarkStart w:id="327" w:name="Tc_aL5EKxyn60KStbdS73foVg_2_6"/>
      <w:bookmarkStart w:id="328" w:name="Tc_mBxcWM9aoU2oW6R34rDnQg_2_4"/>
      <w:bookmarkStart w:id="329" w:name="Tc_eU5eZS97okSEjhrXTz7Beg_2_2"/>
      <w:bookmarkStart w:id="330" w:name="Tc_MaZRT8TDaEamosiL7VdJcw_1_6"/>
      <w:bookmarkStart w:id="331" w:name="Tc_nMXcQrSEw02_aBk5BUPd9A_1_4"/>
      <w:bookmarkStart w:id="332" w:name="_f546866b_d84f_469d_99f7_b03153069620"/>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tbl>
      <w:tblPr>
        <w:tblW w:w="8992" w:type="dxa"/>
        <w:jc w:val="left"/>
        <w:tblInd w:w="0" w:type="dxa"/>
        <w:tblLayout w:type="fixed"/>
        <w:tblCellMar>
          <w:top w:w="0" w:type="dxa"/>
          <w:left w:w="0" w:type="dxa"/>
          <w:bottom w:w="0" w:type="dxa"/>
          <w:right w:w="0" w:type="dxa"/>
        </w:tblCellMar>
      </w:tblPr>
      <w:tblGrid>
        <w:gridCol w:w="4636"/>
        <w:gridCol w:w="346"/>
        <w:gridCol w:w="541"/>
        <w:gridCol w:w="346"/>
        <w:gridCol w:w="1546"/>
        <w:gridCol w:w="346"/>
        <w:gridCol w:w="1231"/>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943860" cy="175260"/>
                      <wp:effectExtent l="0" t="0" r="0" b="0"/>
                      <wp:wrapNone/>
                      <wp:docPr id="133" name="Frame132"/>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43535" cy="175260"/>
                      <wp:effectExtent l="0" t="0" r="0" b="0"/>
                      <wp:wrapNone/>
                      <wp:docPr id="135" name="Frame1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81710" cy="175260"/>
                      <wp:effectExtent l="0" t="0" r="0" b="0"/>
                      <wp:wrapNone/>
                      <wp:docPr id="137" name="Frame13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81685" cy="175260"/>
                      <wp:effectExtent l="0" t="0" r="0" b="0"/>
                      <wp:wrapNone/>
                      <wp:docPr id="139" name="Frame13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23,241</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95,397</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2,991</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7,720</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24,994</w: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34,450</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123,382</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bank loans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324,263</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485,047</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163,000</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243,563</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 deposits received and accrued expenses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408,357</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385,088</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14(b)</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28,512</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48,053</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liabilities–current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31,920</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35,390</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27(c)</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7,910</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 liabilities</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43,300</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31,681</w:t>
            </w:r>
          </w:p>
        </w:tc>
      </w:tr>
      <w:tr>
        <w:trPr/>
        <w:tc>
          <w:tcPr>
            <w:tcW w:w="46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1,001,301</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1,236,732</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current assets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7,209,023</w:t>
            </w:r>
          </w:p>
        </w:tc>
        <w:tc>
          <w:tcPr>
            <w:tcW w:w="346" w:type="dxa"/>
            <w:tcBorders/>
            <w:vAlign w:val="center"/>
          </w:tcPr>
          <w:p>
            <w:pPr>
              <w:pStyle w:val="TableContents"/>
              <w:bidi w:val="0"/>
              <w:spacing w:before="0" w:after="0"/>
              <w:ind w:left="0" w:right="0" w:hanging="0"/>
              <w:jc w:val="left"/>
              <w:rPr/>
            </w:pPr>
            <w:r>
              <w:rPr/>
              <w:t> </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5,391,344</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1,035,751</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1,360,114</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8,935,925</w:t>
            </w:r>
          </w:p>
        </w:tc>
        <w:tc>
          <w:tcPr>
            <w:tcW w:w="346" w:type="dxa"/>
            <w:tcBorders/>
            <w:vAlign w:val="center"/>
          </w:tcPr>
          <w:p>
            <w:pPr>
              <w:pStyle w:val="TableContents"/>
              <w:bidi w:val="0"/>
              <w:spacing w:before="0" w:after="0"/>
              <w:ind w:left="0" w:right="0" w:hanging="0"/>
              <w:jc w:val="left"/>
              <w:rPr/>
            </w:pPr>
            <w:r>
              <w:rPr/>
              <w:t>​</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7,755,416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3" w:name="ChangesinEquity_517873"/>
      <w:bookmarkStart w:id="334" w:name="_b4dfa20b_185e_4e98_91e0_9338df8e3e03"/>
      <w:bookmarkEnd w:id="333"/>
      <w:bookmarkEnd w:id="334"/>
      <w:r>
        <w:rPr>
          <w:rFonts w:ascii="Times New Roman;Times;serif" w:hAnsi="Times New Roman;Times;serif"/>
          <w:b/>
          <w:sz w:val="20"/>
        </w:rPr>
        <w:t>UNAUDITED CONDENSED CONSOLIDATED STATEMENT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5" w:name="Tc_ZnAEQBUwqUWs4PBgPsdMcA_17_0"/>
      <w:bookmarkStart w:id="336" w:name="Tc_ilPkKAu-dE-rBM55ZOG0vw_16_16"/>
      <w:bookmarkStart w:id="337" w:name="Tc_s8rGnjnKWE-x5Jsm4fvX8g_16_14"/>
      <w:bookmarkStart w:id="338" w:name="Tc_xeLbh8LGsEyUxxDfQ14ftQ_16_12"/>
      <w:bookmarkStart w:id="339" w:name="Tc_4oj1odn2TUG-z-WDgUtIoQ_16_6"/>
      <w:bookmarkStart w:id="340" w:name="Tc_MwQ1gTzZz0iwdVU7AdxzUQ_15_18"/>
      <w:bookmarkStart w:id="341" w:name="Tc_nWtFPY0KiUeQB7JjnvsQnA_15_16"/>
      <w:bookmarkStart w:id="342" w:name="Tc_qU3Ckv1r2ku8p8cAg_fPvA_15_14"/>
      <w:bookmarkStart w:id="343" w:name="Tc_dxw7LWvh6UC8fZEQ08grXA_15_12"/>
      <w:bookmarkStart w:id="344" w:name="Tc_0q0R4BP20U-Nf6iUWMQAAQ_15_10"/>
      <w:bookmarkStart w:id="345" w:name="Tc_0hJ25cSCu02xYNwYZD2FHw_15_8"/>
      <w:bookmarkStart w:id="346" w:name="Tc_6pGYPcHMzEC7yMqMuC6N-Q_15_6"/>
      <w:bookmarkStart w:id="347" w:name="Tc_BGpia2sQoEWd3Q_VBXYDAQ_15_4"/>
      <w:bookmarkStart w:id="348" w:name="Tc_eUInNaO3zUeRrLb1t_H74Q_15_0"/>
      <w:bookmarkStart w:id="349" w:name="Tc_piLSAHCsUUOfrPLhrRgTvw_14_16"/>
      <w:bookmarkStart w:id="350" w:name="Tc_qIiZnUgcE0m_xhzek9b77A_14_14"/>
      <w:bookmarkStart w:id="351" w:name="Tc_FIdKAABos0WAQbIvgdrE-A_14_12"/>
      <w:bookmarkStart w:id="352" w:name="Tc_j7oNzQRhukOlS3MLUMCm2g_14_8"/>
      <w:bookmarkStart w:id="353" w:name="Tc_aw5sE-jNYEKCtDVdNbiN-A_14_6"/>
      <w:bookmarkStart w:id="354" w:name="Tc_HkmP7FrGF0y8HMEIp2Wfdw_14_4"/>
      <w:bookmarkStart w:id="355" w:name="Tc_By-6wy_8HkSPg08QFJFWfQ_14_0"/>
      <w:bookmarkStart w:id="356" w:name="Tc_cbA7mpKePEegIY626vEF5w_13_16"/>
      <w:bookmarkStart w:id="357" w:name="Tc_GU2NvMNpdkilgVrA6VZ4cQ_13_14"/>
      <w:bookmarkStart w:id="358" w:name="Tc_7B14Aim2O0OBJtuKUQVm2g_13_12"/>
      <w:bookmarkStart w:id="359" w:name="Tc_yGzOuvhhSk-GhSPnOqtrgg_13_10"/>
      <w:bookmarkStart w:id="360" w:name="Tc_OQexbkmmb0WLaUSf8SHtHw_13_6"/>
      <w:bookmarkStart w:id="361" w:name="Tc_0XVqW_WVaEWRp4mZp3GA2A_13_0"/>
      <w:bookmarkStart w:id="362" w:name="Tc_QidzE_Gy8kiGiiKTwvPNCA_12_18"/>
      <w:bookmarkStart w:id="363" w:name="Tc_QOVQDFAxM0WxDhq_f-xhbw_12_16"/>
      <w:bookmarkStart w:id="364" w:name="Tc_J5xjlkmMgUyAii4Gd29ONw_12_14"/>
      <w:bookmarkStart w:id="365" w:name="Tc_qj1dcPlhmEWj6agLTJ1nYA_12_12"/>
      <w:bookmarkStart w:id="366" w:name="Tc_tG1IZHbMfEixVQqpfS_PCA_12_10"/>
      <w:bookmarkStart w:id="367" w:name="Tc_3yCw6qkhmk2KuOs6sNULlw_12_6"/>
      <w:bookmarkStart w:id="368" w:name="Tc_mw7saREgHU-hPufoPcfBog_12_0"/>
      <w:bookmarkStart w:id="369" w:name="Tc_cqCkFalZLUOi_eO7JejOYQ_11_18"/>
      <w:bookmarkStart w:id="370" w:name="Tc_n1KXkKSZuUup8FQDTu1_Zw_11_16"/>
      <w:bookmarkStart w:id="371" w:name="Tc_wWZ0xBJAiU-tmgclZfS7Pw_11_14"/>
      <w:bookmarkStart w:id="372" w:name="Tc_SGo_sn4zq0uozeu1uxgZ8w_11_12"/>
      <w:bookmarkStart w:id="373" w:name="Tc_nv1XP3No-kC1GGjTjwDCag_11_10"/>
      <w:bookmarkStart w:id="374" w:name="Tc_uknNxguUBUquUG8_7SS1HQ_11_6"/>
      <w:bookmarkStart w:id="375" w:name="Tc_ecLQke7MYkOnlN8WKeTnzQ_11_0"/>
      <w:bookmarkStart w:id="376" w:name="Tc_uQUWSrO7nEeybsFyhR3Icw_10_16"/>
      <w:bookmarkStart w:id="377" w:name="Tc_8EBuV-akgkWdOfoOUfJpzA_10_14"/>
      <w:bookmarkStart w:id="378" w:name="Tc_h_Arj2NRuUO_whz_XVOt-A_10_12"/>
      <w:bookmarkStart w:id="379" w:name="Tc_3N25KfsuWkGY-ynbbUjlIQ_10_8"/>
      <w:bookmarkStart w:id="380" w:name="Tc_3k3w5lPeW0yfQvLegPQpyg_10_6"/>
      <w:bookmarkStart w:id="381" w:name="Tc_lpWXdhKT6Ey8C_Vk68BmJQ_10_4"/>
      <w:bookmarkStart w:id="382" w:name="Tc_8UTI85Pa-0mcY6fepo6xUw_10_2"/>
      <w:bookmarkStart w:id="383" w:name="Tc_R6oYiEc3WEqts15RBGmyow_10_0"/>
      <w:bookmarkStart w:id="384" w:name="Tc_gM4YZggoBUql4wihOlQw9g_9_14"/>
      <w:bookmarkStart w:id="385" w:name="Tc_4g_O8_6v1kS3fnMBhoVy_Q_9_10"/>
      <w:bookmarkStart w:id="386" w:name="Tc__UVMTleBKU26yKmZYlgOog_9_8"/>
      <w:bookmarkStart w:id="387" w:name="Tc_o-TTazSX20qZy8PCC_OclA_9_6"/>
      <w:bookmarkStart w:id="388" w:name="Tc_fc-g-04K5kmJnQtwxpCuZg_9_4"/>
      <w:bookmarkStart w:id="389" w:name="Tc_IjYVhR2AQku66S1xC3s8uA_9_0"/>
      <w:bookmarkStart w:id="390" w:name="Tc_iP0eWQCwqk2f82Xg68jX2Q_8_16"/>
      <w:bookmarkStart w:id="391" w:name="Tc_7iog0hXP6kWLmm5vRAlT4w_8_14"/>
      <w:bookmarkStart w:id="392" w:name="Tc_6k3vxiwoAUGwNJZmrUmvdg_8_10"/>
      <w:bookmarkStart w:id="393" w:name="Tc_DxwPb9DoeE6ONlNcZbtYFg_8_8"/>
      <w:bookmarkStart w:id="394" w:name="Tc_zqHICnnvwUKPdg8eFBqHCg_8_6"/>
      <w:bookmarkStart w:id="395" w:name="Tc_fcjVW1-D8kqEUtAtkaLCxw_8_4"/>
      <w:bookmarkStart w:id="396" w:name="Tc_DL7vcq0zxUGYnMHBC5rrbA_8_0"/>
      <w:bookmarkStart w:id="397" w:name="Tc_Cm4vn9G8ukScfYMKRSTu8A_7_14"/>
      <w:bookmarkStart w:id="398" w:name="Tc_aHMen-_lX0q4lB1HZ2AL1Q_7_12"/>
      <w:bookmarkStart w:id="399" w:name="Tc_4AAv2h74dUaigixTvOgPZw_7_10"/>
      <w:bookmarkStart w:id="400" w:name="Tc_9SDGF6fFwU2jBpWY5JZm8A_7_8"/>
      <w:bookmarkStart w:id="401" w:name="Tc_OLzWHJSRPkaSScGuBhw8hQ_7_6"/>
      <w:bookmarkStart w:id="402" w:name="Tc_YJ50FT1Ey0yyUf3wM17ZOg_7_4"/>
      <w:bookmarkStart w:id="403" w:name="Tc_2uSVc46cdES6UawrYzI2NA_7_0"/>
      <w:bookmarkStart w:id="404" w:name="Tc_vIQHWnaqgk-Pd-nZjLyiVA_6_0"/>
      <w:bookmarkStart w:id="405" w:name="Tc_mT8X7F26oUaflAmzpNii8g_5_0"/>
      <w:bookmarkStart w:id="406" w:name="Tc_iP6YK_Lb_kCXphwTgck6eg_4_18"/>
      <w:bookmarkStart w:id="407" w:name="Tc_y3YVA2ro8Ei_POkOF1IuzA_4_16"/>
      <w:bookmarkStart w:id="408" w:name="Tc_iRf2GtkTKkKf4U8MLNpN9w_4_14"/>
      <w:bookmarkStart w:id="409" w:name="Tc_1yDrlPYSuk6xgbilJveKyA_4_12"/>
      <w:bookmarkStart w:id="410" w:name="Tc__OS8VGHdBEujtb5BGF0tUQ_4_10"/>
      <w:bookmarkStart w:id="411" w:name="Tc_3i7fhCzZwEKeiN-bfC34mg_4_8"/>
      <w:bookmarkStart w:id="412" w:name="Tc_oy8-V3vmE0KuvMzAx6B57w_4_6"/>
      <w:bookmarkStart w:id="413" w:name="Tc_d37E6ePQp02-uPxkF3Amrw_4_4"/>
      <w:bookmarkStart w:id="414" w:name="Tc_f1Eiz-HE2USMhs8QwaLUiA_3_18"/>
      <w:bookmarkStart w:id="415" w:name="Tc_A2yBt1ipEUe6rKJKmz2LPg_3_16"/>
      <w:bookmarkStart w:id="416" w:name="Tc_Sd18Yp8WnUqBchVp1X_vdQ_3_14"/>
      <w:bookmarkStart w:id="417" w:name="Tc_aqNSvoWfPkejgNdkQAPuPw_3_12"/>
      <w:bookmarkStart w:id="418" w:name="Tc_RRQ6cdmr70yImmJkf9Xdqw_3_10"/>
      <w:bookmarkStart w:id="419" w:name="Tc_ejV4Do5Q30qWv_EtAjgGyQ_3_8"/>
      <w:bookmarkStart w:id="420" w:name="Tc_pvmuaQoXs0yb1jXGUWl9jw_3_6"/>
      <w:bookmarkStart w:id="421" w:name="Tc_N814NI5tQ0uc8B1I6SJ42g_3_4"/>
      <w:bookmarkStart w:id="422" w:name="Tc_-SYZ46jIok6sBaDbGdctFg_3_2"/>
      <w:bookmarkStart w:id="423" w:name="Tc_UkKHAgx-WEmVcPRoU_olzA_2_18"/>
      <w:bookmarkStart w:id="424" w:name="Tc_KLvSbj6MmEy4Y8bjlOl7vA_2_16"/>
      <w:bookmarkStart w:id="425" w:name="Tc_0EPr9pqGFUSZVA8xPenopA_2_14"/>
      <w:bookmarkStart w:id="426" w:name="Tc_4FpU9ZecL0es_Dc8-hDQ0Q_2_12"/>
      <w:bookmarkStart w:id="427" w:name="Tc_089IGa3470SuArDRGUOLqQ_2_10"/>
      <w:bookmarkStart w:id="428" w:name="Tc_4LWqOnWjb0mxNmbGC2eCXA_2_8"/>
      <w:bookmarkStart w:id="429" w:name="Tc_-uc1zgSkek2040QAB7k1vg_2_6"/>
      <w:bookmarkStart w:id="430" w:name="Tc_SamCOBrL7EGaq4qXVZcG-A_2_4"/>
      <w:bookmarkStart w:id="431" w:name="Tc_M6F5Z4BaiUKPAmMe7w5Nlg_1_10"/>
      <w:bookmarkStart w:id="432" w:name="Tc_id5SmUFjrke_6Bwrfkwoyw_1_6"/>
      <w:bookmarkStart w:id="433" w:name="Tc_DzR7OY8jM06H78PNwdWkxA_1_4"/>
      <w:bookmarkStart w:id="434" w:name="_c229b0ed_c009_4bc9_8aae_4a92d45d9890"/>
      <w:bookmarkStart w:id="435" w:name="Tc_ZnAEQBUwqUWs4PBgPsdMcA_17_0"/>
      <w:bookmarkStart w:id="436" w:name="Tc_ilPkKAu-dE-rBM55ZOG0vw_16_16"/>
      <w:bookmarkStart w:id="437" w:name="Tc_s8rGnjnKWE-x5Jsm4fvX8g_16_14"/>
      <w:bookmarkStart w:id="438" w:name="Tc_xeLbh8LGsEyUxxDfQ14ftQ_16_12"/>
      <w:bookmarkStart w:id="439" w:name="Tc_4oj1odn2TUG-z-WDgUtIoQ_16_6"/>
      <w:bookmarkStart w:id="440" w:name="Tc_MwQ1gTzZz0iwdVU7AdxzUQ_15_18"/>
      <w:bookmarkStart w:id="441" w:name="Tc_nWtFPY0KiUeQB7JjnvsQnA_15_16"/>
      <w:bookmarkStart w:id="442" w:name="Tc_qU3Ckv1r2ku8p8cAg_fPvA_15_14"/>
      <w:bookmarkStart w:id="443" w:name="Tc_dxw7LWvh6UC8fZEQ08grXA_15_12"/>
      <w:bookmarkStart w:id="444" w:name="Tc_0q0R4BP20U-Nf6iUWMQAAQ_15_10"/>
      <w:bookmarkStart w:id="445" w:name="Tc_0hJ25cSCu02xYNwYZD2FHw_15_8"/>
      <w:bookmarkStart w:id="446" w:name="Tc_6pGYPcHMzEC7yMqMuC6N-Q_15_6"/>
      <w:bookmarkStart w:id="447" w:name="Tc_BGpia2sQoEWd3Q_VBXYDAQ_15_4"/>
      <w:bookmarkStart w:id="448" w:name="Tc_eUInNaO3zUeRrLb1t_H74Q_15_0"/>
      <w:bookmarkStart w:id="449" w:name="Tc_piLSAHCsUUOfrPLhrRgTvw_14_16"/>
      <w:bookmarkStart w:id="450" w:name="Tc_qIiZnUgcE0m_xhzek9b77A_14_14"/>
      <w:bookmarkStart w:id="451" w:name="Tc_FIdKAABos0WAQbIvgdrE-A_14_12"/>
      <w:bookmarkStart w:id="452" w:name="Tc_j7oNzQRhukOlS3MLUMCm2g_14_8"/>
      <w:bookmarkStart w:id="453" w:name="Tc_aw5sE-jNYEKCtDVdNbiN-A_14_6"/>
      <w:bookmarkStart w:id="454" w:name="Tc_HkmP7FrGF0y8HMEIp2Wfdw_14_4"/>
      <w:bookmarkStart w:id="455" w:name="Tc_By-6wy_8HkSPg08QFJFWfQ_14_0"/>
      <w:bookmarkStart w:id="456" w:name="Tc_cbA7mpKePEegIY626vEF5w_13_16"/>
      <w:bookmarkStart w:id="457" w:name="Tc_GU2NvMNpdkilgVrA6VZ4cQ_13_14"/>
      <w:bookmarkStart w:id="458" w:name="Tc_7B14Aim2O0OBJtuKUQVm2g_13_12"/>
      <w:bookmarkStart w:id="459" w:name="Tc_yGzOuvhhSk-GhSPnOqtrgg_13_10"/>
      <w:bookmarkStart w:id="460" w:name="Tc_OQexbkmmb0WLaUSf8SHtHw_13_6"/>
      <w:bookmarkStart w:id="461" w:name="Tc_0XVqW_WVaEWRp4mZp3GA2A_13_0"/>
      <w:bookmarkStart w:id="462" w:name="Tc_QidzE_Gy8kiGiiKTwvPNCA_12_18"/>
      <w:bookmarkStart w:id="463" w:name="Tc_QOVQDFAxM0WxDhq_f-xhbw_12_16"/>
      <w:bookmarkStart w:id="464" w:name="Tc_J5xjlkmMgUyAii4Gd29ONw_12_14"/>
      <w:bookmarkStart w:id="465" w:name="Tc_qj1dcPlhmEWj6agLTJ1nYA_12_12"/>
      <w:bookmarkStart w:id="466" w:name="Tc_tG1IZHbMfEixVQqpfS_PCA_12_10"/>
      <w:bookmarkStart w:id="467" w:name="Tc_3yCw6qkhmk2KuOs6sNULlw_12_6"/>
      <w:bookmarkStart w:id="468" w:name="Tc_mw7saREgHU-hPufoPcfBog_12_0"/>
      <w:bookmarkStart w:id="469" w:name="Tc_cqCkFalZLUOi_eO7JejOYQ_11_18"/>
      <w:bookmarkStart w:id="470" w:name="Tc_n1KXkKSZuUup8FQDTu1_Zw_11_16"/>
      <w:bookmarkStart w:id="471" w:name="Tc_wWZ0xBJAiU-tmgclZfS7Pw_11_14"/>
      <w:bookmarkStart w:id="472" w:name="Tc_SGo_sn4zq0uozeu1uxgZ8w_11_12"/>
      <w:bookmarkStart w:id="473" w:name="Tc_nv1XP3No-kC1GGjTjwDCag_11_10"/>
      <w:bookmarkStart w:id="474" w:name="Tc_uknNxguUBUquUG8_7SS1HQ_11_6"/>
      <w:bookmarkStart w:id="475" w:name="Tc_ecLQke7MYkOnlN8WKeTnzQ_11_0"/>
      <w:bookmarkStart w:id="476" w:name="Tc_uQUWSrO7nEeybsFyhR3Icw_10_16"/>
      <w:bookmarkStart w:id="477" w:name="Tc_8EBuV-akgkWdOfoOUfJpzA_10_14"/>
      <w:bookmarkStart w:id="478" w:name="Tc_h_Arj2NRuUO_whz_XVOt-A_10_12"/>
      <w:bookmarkStart w:id="479" w:name="Tc_3N25KfsuWkGY-ynbbUjlIQ_10_8"/>
      <w:bookmarkStart w:id="480" w:name="Tc_3k3w5lPeW0yfQvLegPQpyg_10_6"/>
      <w:bookmarkStart w:id="481" w:name="Tc_lpWXdhKT6Ey8C_Vk68BmJQ_10_4"/>
      <w:bookmarkStart w:id="482" w:name="Tc_8UTI85Pa-0mcY6fepo6xUw_10_2"/>
      <w:bookmarkStart w:id="483" w:name="Tc_R6oYiEc3WEqts15RBGmyow_10_0"/>
      <w:bookmarkStart w:id="484" w:name="Tc_gM4YZggoBUql4wihOlQw9g_9_14"/>
      <w:bookmarkStart w:id="485" w:name="Tc_4g_O8_6v1kS3fnMBhoVy_Q_9_10"/>
      <w:bookmarkStart w:id="486" w:name="Tc__UVMTleBKU26yKmZYlgOog_9_8"/>
      <w:bookmarkStart w:id="487" w:name="Tc_o-TTazSX20qZy8PCC_OclA_9_6"/>
      <w:bookmarkStart w:id="488" w:name="Tc_fc-g-04K5kmJnQtwxpCuZg_9_4"/>
      <w:bookmarkStart w:id="489" w:name="Tc_IjYVhR2AQku66S1xC3s8uA_9_0"/>
      <w:bookmarkStart w:id="490" w:name="Tc_iP0eWQCwqk2f82Xg68jX2Q_8_16"/>
      <w:bookmarkStart w:id="491" w:name="Tc_7iog0hXP6kWLmm5vRAlT4w_8_14"/>
      <w:bookmarkStart w:id="492" w:name="Tc_6k3vxiwoAUGwNJZmrUmvdg_8_10"/>
      <w:bookmarkStart w:id="493" w:name="Tc_DxwPb9DoeE6ONlNcZbtYFg_8_8"/>
      <w:bookmarkStart w:id="494" w:name="Tc_zqHICnnvwUKPdg8eFBqHCg_8_6"/>
      <w:bookmarkStart w:id="495" w:name="Tc_fcjVW1-D8kqEUtAtkaLCxw_8_4"/>
      <w:bookmarkStart w:id="496" w:name="Tc_DL7vcq0zxUGYnMHBC5rrbA_8_0"/>
      <w:bookmarkStart w:id="497" w:name="Tc_Cm4vn9G8ukScfYMKRSTu8A_7_14"/>
      <w:bookmarkStart w:id="498" w:name="Tc_aHMen-_lX0q4lB1HZ2AL1Q_7_12"/>
      <w:bookmarkStart w:id="499" w:name="Tc_4AAv2h74dUaigixTvOgPZw_7_10"/>
      <w:bookmarkStart w:id="500" w:name="Tc_9SDGF6fFwU2jBpWY5JZm8A_7_8"/>
      <w:bookmarkStart w:id="501" w:name="Tc_OLzWHJSRPkaSScGuBhw8hQ_7_6"/>
      <w:bookmarkStart w:id="502" w:name="Tc_YJ50FT1Ey0yyUf3wM17ZOg_7_4"/>
      <w:bookmarkStart w:id="503" w:name="Tc_2uSVc46cdES6UawrYzI2NA_7_0"/>
      <w:bookmarkStart w:id="504" w:name="Tc_vIQHWnaqgk-Pd-nZjLyiVA_6_0"/>
      <w:bookmarkStart w:id="505" w:name="Tc_mT8X7F26oUaflAmzpNii8g_5_0"/>
      <w:bookmarkStart w:id="506" w:name="Tc_iP6YK_Lb_kCXphwTgck6eg_4_18"/>
      <w:bookmarkStart w:id="507" w:name="Tc_y3YVA2ro8Ei_POkOF1IuzA_4_16"/>
      <w:bookmarkStart w:id="508" w:name="Tc_iRf2GtkTKkKf4U8MLNpN9w_4_14"/>
      <w:bookmarkStart w:id="509" w:name="Tc_1yDrlPYSuk6xgbilJveKyA_4_12"/>
      <w:bookmarkStart w:id="510" w:name="Tc__OS8VGHdBEujtb5BGF0tUQ_4_10"/>
      <w:bookmarkStart w:id="511" w:name="Tc_3i7fhCzZwEKeiN-bfC34mg_4_8"/>
      <w:bookmarkStart w:id="512" w:name="Tc_oy8-V3vmE0KuvMzAx6B57w_4_6"/>
      <w:bookmarkStart w:id="513" w:name="Tc_d37E6ePQp02-uPxkF3Amrw_4_4"/>
      <w:bookmarkStart w:id="514" w:name="Tc_f1Eiz-HE2USMhs8QwaLUiA_3_18"/>
      <w:bookmarkStart w:id="515" w:name="Tc_A2yBt1ipEUe6rKJKmz2LPg_3_16"/>
      <w:bookmarkStart w:id="516" w:name="Tc_Sd18Yp8WnUqBchVp1X_vdQ_3_14"/>
      <w:bookmarkStart w:id="517" w:name="Tc_aqNSvoWfPkejgNdkQAPuPw_3_12"/>
      <w:bookmarkStart w:id="518" w:name="Tc_RRQ6cdmr70yImmJkf9Xdqw_3_10"/>
      <w:bookmarkStart w:id="519" w:name="Tc_ejV4Do5Q30qWv_EtAjgGyQ_3_8"/>
      <w:bookmarkStart w:id="520" w:name="Tc_pvmuaQoXs0yb1jXGUWl9jw_3_6"/>
      <w:bookmarkStart w:id="521" w:name="Tc_N814NI5tQ0uc8B1I6SJ42g_3_4"/>
      <w:bookmarkStart w:id="522" w:name="Tc_-SYZ46jIok6sBaDbGdctFg_3_2"/>
      <w:bookmarkStart w:id="523" w:name="Tc_UkKHAgx-WEmVcPRoU_olzA_2_18"/>
      <w:bookmarkStart w:id="524" w:name="Tc_KLvSbj6MmEy4Y8bjlOl7vA_2_16"/>
      <w:bookmarkStart w:id="525" w:name="Tc_0EPr9pqGFUSZVA8xPenopA_2_14"/>
      <w:bookmarkStart w:id="526" w:name="Tc_4FpU9ZecL0es_Dc8-hDQ0Q_2_12"/>
      <w:bookmarkStart w:id="527" w:name="Tc_089IGa3470SuArDRGUOLqQ_2_10"/>
      <w:bookmarkStart w:id="528" w:name="Tc_4LWqOnWjb0mxNmbGC2eCXA_2_8"/>
      <w:bookmarkStart w:id="529" w:name="Tc_-uc1zgSkek2040QAB7k1vg_2_6"/>
      <w:bookmarkStart w:id="530" w:name="Tc_SamCOBrL7EGaq4qXVZcG-A_2_4"/>
      <w:bookmarkStart w:id="531" w:name="Tc_M6F5Z4BaiUKPAmMe7w5Nlg_1_10"/>
      <w:bookmarkStart w:id="532" w:name="Tc_id5SmUFjrke_6Bwrfkwoyw_1_6"/>
      <w:bookmarkStart w:id="533" w:name="Tc_DzR7OY8jM06H78PNwdWkxA_1_4"/>
      <w:bookmarkStart w:id="534" w:name="_c229b0ed_c009_4bc9_8aae_4a92d45d9890"/>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tbl>
      <w:tblPr>
        <w:tblW w:w="11794" w:type="dxa"/>
        <w:jc w:val="left"/>
        <w:tblInd w:w="0" w:type="dxa"/>
        <w:tblLayout w:type="fixed"/>
        <w:tblCellMar>
          <w:top w:w="0" w:type="dxa"/>
          <w:left w:w="0" w:type="dxa"/>
          <w:bottom w:w="0" w:type="dxa"/>
          <w:right w:w="0" w:type="dxa"/>
        </w:tblCellMar>
      </w:tblPr>
      <w:tblGrid>
        <w:gridCol w:w="1186"/>
        <w:gridCol w:w="346"/>
        <w:gridCol w:w="436"/>
        <w:gridCol w:w="346"/>
        <w:gridCol w:w="706"/>
        <w:gridCol w:w="346"/>
        <w:gridCol w:w="706"/>
        <w:gridCol w:w="346"/>
        <w:gridCol w:w="916"/>
        <w:gridCol w:w="346"/>
        <w:gridCol w:w="1066"/>
        <w:gridCol w:w="346"/>
        <w:gridCol w:w="886"/>
        <w:gridCol w:w="346"/>
        <w:gridCol w:w="826"/>
        <w:gridCol w:w="346"/>
        <w:gridCol w:w="1021"/>
        <w:gridCol w:w="346"/>
        <w:gridCol w:w="93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53110" cy="175260"/>
                      <wp:effectExtent l="0" t="0" r="0" b="0"/>
                      <wp:wrapNone/>
                      <wp:docPr id="140" name="Frame13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6860" cy="175260"/>
                      <wp:effectExtent l="0" t="0" r="0" b="0"/>
                      <wp:wrapNone/>
                      <wp:docPr id="142" name="Frame14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48310" cy="175260"/>
                      <wp:effectExtent l="0" t="0" r="0" b="0"/>
                      <wp:wrapNone/>
                      <wp:docPr id="144" name="Frame14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48310" cy="175260"/>
                      <wp:effectExtent l="0" t="0" r="0" b="0"/>
                      <wp:wrapNone/>
                      <wp:docPr id="146" name="Frame14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81660" cy="175260"/>
                      <wp:effectExtent l="0" t="0" r="0" b="0"/>
                      <wp:wrapNone/>
                      <wp:docPr id="148" name="Frame1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76910" cy="175260"/>
                      <wp:effectExtent l="0" t="0" r="0" b="0"/>
                      <wp:wrapNone/>
                      <wp:docPr id="150" name="Frame14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62610" cy="175260"/>
                      <wp:effectExtent l="0" t="0" r="0" b="0"/>
                      <wp:wrapNone/>
                      <wp:docPr id="152" name="Frame1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24510" cy="175260"/>
                      <wp:effectExtent l="0" t="0" r="0" b="0"/>
                      <wp:wrapNone/>
                      <wp:docPr id="154" name="Frame15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335" cy="175260"/>
                      <wp:effectExtent l="0" t="0" r="0" b="0"/>
                      <wp:wrapNone/>
                      <wp:docPr id="156" name="Frame15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91185" cy="175260"/>
                      <wp:effectExtent l="0" t="0" r="0" b="0"/>
                      <wp:wrapNone/>
                      <wp:docPr id="158" name="Frame1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Class A</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Class B</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Share-based</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8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2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21"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31" w:type="dxa"/>
            <w:tcBorders/>
            <w:vAlign w:val="center"/>
          </w:tcPr>
          <w:p>
            <w:pPr>
              <w:pStyle w:val="TableContents"/>
              <w:bidi w:val="0"/>
              <w:spacing w:before="0" w:after="1"/>
              <w:ind w:left="0" w:right="0" w:hanging="0"/>
              <w:jc w:val="center"/>
              <w:rPr>
                <w:color w:val="221F1F"/>
              </w:rPr>
            </w:pPr>
            <w:r>
              <w:rPr>
                <w:color w:val="221F1F"/>
              </w:rPr>
              <w:t>​</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ordinary</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ordinary</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Share</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compensation</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Translation</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Other</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Accumulated</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Note</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shares</w:t>
            </w:r>
          </w:p>
        </w:tc>
        <w:tc>
          <w:tcPr>
            <w:tcW w:w="346" w:type="dxa"/>
            <w:tcBorders/>
            <w:vAlign w:val="center"/>
          </w:tcPr>
          <w:p>
            <w:pPr>
              <w:pStyle w:val="TableContents"/>
              <w:bidi w:val="0"/>
              <w:spacing w:before="0" w:after="1"/>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shares</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premium</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reserve</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reserve</w:t>
            </w:r>
          </w:p>
        </w:tc>
        <w:tc>
          <w:tcPr>
            <w:tcW w:w="346" w:type="dxa"/>
            <w:tcBorders/>
            <w:vAlign w:val="center"/>
          </w:tcPr>
          <w:p>
            <w:pPr>
              <w:pStyle w:val="TableContents"/>
              <w:bidi w:val="0"/>
              <w:spacing w:before="0" w:after="1"/>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reserves</w:t>
            </w:r>
          </w:p>
        </w:tc>
        <w:tc>
          <w:tcPr>
            <w:tcW w:w="346" w:type="dxa"/>
            <w:tcBorders/>
            <w:vAlign w:val="center"/>
          </w:tcPr>
          <w:p>
            <w:pPr>
              <w:pStyle w:val="TableContents"/>
              <w:bidi w:val="0"/>
              <w:spacing w:before="0" w:after="1"/>
              <w:ind w:left="0" w:right="0" w:hanging="0"/>
              <w:jc w:val="center"/>
              <w:rPr/>
            </w:pPr>
            <w:r>
              <w:rPr/>
              <w:t>  ​ ​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losses</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equity</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RMB’000 </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12,750,598</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2,124,150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(196,283)</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1,018,848</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(8,631,352)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7,066,019</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equity for the six months ended June 30, 2025</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436" w:type="dxa"/>
            <w:tcBorders/>
            <w:shd w:fill="CCEEFF" w:val="clear"/>
            <w:vAlign w:val="center"/>
          </w:tcPr>
          <w:p>
            <w:pPr>
              <w:pStyle w:val="TableContents"/>
              <w:bidi w:val="0"/>
              <w:spacing w:before="0" w:after="1"/>
              <w:ind w:left="0" w:right="0" w:hanging="0"/>
              <w:jc w:val="right"/>
              <w:rPr>
                <w:color w:val="221F1F"/>
              </w:rPr>
            </w:pPr>
            <w:r>
              <w:rPr>
                <w:color w:val="221F1F"/>
              </w:rPr>
              <w:t>  ​</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6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8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(791,517)</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(791,517)</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 net of nil income taxes</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436" w:type="dxa"/>
            <w:tcBorders/>
            <w:vAlign w:val="center"/>
          </w:tcPr>
          <w:p>
            <w:pPr>
              <w:pStyle w:val="TableContents"/>
              <w:bidi w:val="0"/>
              <w:spacing w:before="0" w:after="1"/>
              <w:ind w:left="0" w:right="0" w:hanging="0"/>
              <w:jc w:val="right"/>
              <w:rPr>
                <w:color w:val="221F1F"/>
              </w:rPr>
            </w:pPr>
            <w:r>
              <w:rPr>
                <w:color w:val="221F1F"/>
              </w:rPr>
              <w:t>  ​</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(29,075)</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(29,075)</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comprehensive income</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436" w:type="dxa"/>
            <w:tcBorders/>
            <w:shd w:fill="CCEEFF" w:val="clear"/>
            <w:vAlign w:val="center"/>
          </w:tcPr>
          <w:p>
            <w:pPr>
              <w:pStyle w:val="TableContents"/>
              <w:bidi w:val="0"/>
              <w:spacing w:before="0" w:after="1"/>
              <w:ind w:left="0" w:right="0" w:hanging="0"/>
              <w:jc w:val="right"/>
              <w:rPr>
                <w:color w:val="221F1F"/>
              </w:rPr>
            </w:pPr>
            <w:r>
              <w:rPr>
                <w:color w:val="221F1F"/>
              </w:rPr>
              <w:t>  ​</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(29,075)</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(791,517)</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(820,592)</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expenses</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6(i)</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0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0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1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219,522</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8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2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219,522</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21F1F"/>
                <w:sz w:val="16"/>
              </w:rPr>
            </w:pPr>
            <w:r>
              <w:rPr>
                <w:rFonts w:ascii="Times New Roman;Times;serif" w:hAnsi="Times New Roman;Times;serif"/>
                <w:color w:val="221F1F"/>
                <w:sz w:val="16"/>
              </w:rPr>
              <w:t>Issuance of Class A ordinary shares to settle vested RSUs</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436" w:type="dxa"/>
            <w:tcBorders/>
            <w:shd w:fill="CCEEFF" w:val="clear"/>
            <w:vAlign w:val="center"/>
          </w:tcPr>
          <w:p>
            <w:pPr>
              <w:pStyle w:val="TableContents"/>
              <w:bidi w:val="0"/>
              <w:spacing w:before="0" w:after="1"/>
              <w:ind w:left="0" w:right="0" w:hanging="0"/>
              <w:jc w:val="center"/>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3</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0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(3)</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6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8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2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31" w:type="dxa"/>
            <w:tcBorders/>
            <w:shd w:fill="CCEEFF" w:val="clear"/>
            <w:vAlign w:val="center"/>
          </w:tcPr>
          <w:p>
            <w:pPr>
              <w:pStyle w:val="TableContents"/>
              <w:bidi w:val="0"/>
              <w:spacing w:before="0" w:after="1"/>
              <w:ind w:left="0" w:right="0" w:hanging="0"/>
              <w:jc w:val="right"/>
              <w:rPr>
                <w:color w:val="221F1F"/>
              </w:rPr>
            </w:pPr>
            <w:r>
              <w:rPr>
                <w:color w:val="221F1F"/>
              </w:rPr>
              <w:t>—</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color w:val="221F1F"/>
                <w:sz w:val="16"/>
              </w:rPr>
            </w:pPr>
            <w:r>
              <w:rPr>
                <w:rFonts w:ascii="Times New Roman;Times;serif" w:hAnsi="Times New Roman;Times;serif"/>
                <w:color w:val="221F1F"/>
                <w:sz w:val="16"/>
              </w:rPr>
              <w:t>Class A ordinary shares issued to depositary bank</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4</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0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(4)</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6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88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82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2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31" w:type="dxa"/>
            <w:tcBorders/>
            <w:vAlign w:val="center"/>
          </w:tcPr>
          <w:p>
            <w:pPr>
              <w:pStyle w:val="TableContents"/>
              <w:bidi w:val="0"/>
              <w:spacing w:before="0" w:after="1"/>
              <w:ind w:left="0" w:right="0" w:hanging="0"/>
              <w:jc w:val="right"/>
              <w:rPr>
                <w:color w:val="221F1F"/>
              </w:rPr>
            </w:pPr>
            <w:r>
              <w:rPr>
                <w:color w:val="221F1F"/>
              </w:rPr>
              <w:t>—</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21F1F"/>
                <w:sz w:val="16"/>
              </w:rPr>
            </w:pPr>
            <w:r>
              <w:rPr>
                <w:rFonts w:ascii="Times New Roman;Times;serif" w:hAnsi="Times New Roman;Times;serif"/>
                <w:color w:val="221F1F"/>
                <w:sz w:val="16"/>
              </w:rPr>
              <w:t>Issuance of Class A ordinary shares for exercise of share options</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436" w:type="dxa"/>
            <w:tcBorders/>
            <w:shd w:fill="CCEEFF" w:val="clear"/>
            <w:vAlign w:val="center"/>
          </w:tcPr>
          <w:p>
            <w:pPr>
              <w:pStyle w:val="TableContents"/>
              <w:bidi w:val="0"/>
              <w:spacing w:before="0" w:after="1"/>
              <w:ind w:left="0" w:right="0" w:hanging="0"/>
              <w:jc w:val="center"/>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1</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0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49,652</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6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88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82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2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49,653</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color w:val="221F1F"/>
                <w:sz w:val="16"/>
              </w:rPr>
            </w:pPr>
            <w:r>
              <w:rPr>
                <w:rFonts w:ascii="Times New Roman;Times;serif" w:hAnsi="Times New Roman;Times;serif"/>
                <w:color w:val="221F1F"/>
                <w:sz w:val="16"/>
              </w:rPr>
              <w:t>Withholding of vested RSUs to satisfy income tax requirements upon settlement of vested RSUs</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0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0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1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(50,846)</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88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82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2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(50,846)</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21F1F"/>
                <w:sz w:val="16"/>
              </w:rPr>
            </w:pPr>
            <w:r>
              <w:rPr>
                <w:rFonts w:ascii="Times New Roman;Times;serif" w:hAnsi="Times New Roman;Times;serif"/>
                <w:color w:val="221F1F"/>
                <w:sz w:val="16"/>
              </w:rPr>
              <w:t>Surrender of Class A ordinary shares</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436" w:type="dxa"/>
            <w:tcBorders/>
            <w:shd w:fill="CCEEFF" w:val="clear"/>
            <w:vAlign w:val="center"/>
          </w:tcPr>
          <w:p>
            <w:pPr>
              <w:pStyle w:val="TableContents"/>
              <w:bidi w:val="0"/>
              <w:spacing w:before="0" w:after="1"/>
              <w:ind w:left="0" w:right="0" w:hanging="0"/>
              <w:jc w:val="center"/>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49,645</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168,676</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218,329</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12,800,243</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2,292,826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(225,358)</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1,018,848</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21F1F"/>
                <w:sz w:val="16"/>
              </w:rPr>
            </w:pPr>
            <w:r>
              <w:rPr>
                <w:rFonts w:ascii="Times New Roman;Times;serif" w:hAnsi="Times New Roman;Times;serif"/>
                <w:color w:val="221F1F"/>
                <w:sz w:val="16"/>
              </w:rPr>
              <w:t>(9,422,869)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21F1F"/>
                <w:sz w:val="16"/>
              </w:rPr>
            </w:pPr>
            <w:r>
              <w:rPr>
                <w:rFonts w:ascii="Times New Roman;Times;serif" w:hAnsi="Times New Roman;Times;serif"/>
                <w:color w:val="221F1F"/>
                <w:sz w:val="16"/>
              </w:rPr>
              <w:t>6,463,756</w:t>
            </w:r>
          </w:p>
        </w:tc>
      </w:tr>
    </w:tbl>
    <w:p>
      <w:pPr>
        <w:pStyle w:val="Normal"/>
        <w:bidi w:val="0"/>
        <w:spacing w:before="0" w:after="0"/>
        <w:jc w:val="left"/>
        <w:rPr>
          <w:sz w:val="4"/>
          <w:szCs w:val="4"/>
        </w:rPr>
      </w:pPr>
      <w:r>
        <w:rPr>
          <w:sz w:val="4"/>
          <w:szCs w:val="4"/>
        </w:rPr>
      </w:r>
      <w:bookmarkStart w:id="535" w:name="_0852e075_59b3_4756_b6d7_21fe5155b301"/>
      <w:bookmarkStart w:id="536" w:name="_0852e075_59b3_4756_b6d7_21fe5155b301"/>
      <w:bookmarkEnd w:id="536"/>
    </w:p>
    <w:tbl>
      <w:tblPr>
        <w:tblW w:w="3752" w:type="dxa"/>
        <w:jc w:val="left"/>
        <w:tblInd w:w="0" w:type="dxa"/>
        <w:tblLayout w:type="fixed"/>
        <w:tblCellMar>
          <w:top w:w="0" w:type="dxa"/>
          <w:left w:w="0" w:type="dxa"/>
          <w:bottom w:w="0" w:type="dxa"/>
          <w:right w:w="0" w:type="dxa"/>
        </w:tblCellMar>
      </w:tblPr>
      <w:tblGrid>
        <w:gridCol w:w="226"/>
        <w:gridCol w:w="352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35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Represents amounts less than RMB1,000.</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7" w:name="ChangesinEquitycontinued_308466"/>
      <w:bookmarkEnd w:id="537"/>
      <w:r>
        <w:rPr>
          <w:rFonts w:ascii="Times New Roman;Times;serif" w:hAnsi="Times New Roman;Times;serif"/>
          <w:b/>
          <w:sz w:val="20"/>
        </w:rPr>
        <w:t xml:space="preserve">UNAUDITED CONDENSED CONSOLIDATED STATEMENT OF CHANGES IN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38" w:name="Tc_3dS-pVJBrEyt__z-Hsj_UA_15_0"/>
      <w:bookmarkStart w:id="539" w:name="Tc_SBq5QnXBPk61KvpQ6k1-3g_14_18"/>
      <w:bookmarkStart w:id="540" w:name="Tc_Bg2_dyNma0aIklCGMdgKdQ_14_16"/>
      <w:bookmarkStart w:id="541" w:name="Tc_PG7mOAzlqEuayLRBeycLmA_14_14"/>
      <w:bookmarkStart w:id="542" w:name="Tc_rd_my3jeakKkKgT42G0Zqw_14_6"/>
      <w:bookmarkStart w:id="543" w:name="Tc_HsQE4cIfjEmkbz8QhkXnEg_14_4"/>
      <w:bookmarkStart w:id="544" w:name="Tc_KEpXr9p_y0KshYC6S0xVTw_13_18"/>
      <w:bookmarkStart w:id="545" w:name="Tc_pslLjjsZJkKE1JtNabnnSg_13_16"/>
      <w:bookmarkStart w:id="546" w:name="Tc_RIYCVsL6mkmdQe-qRaJexw_13_14"/>
      <w:bookmarkStart w:id="547" w:name="Tc_WB9mhaFcLEy1IAuftYL_bg_13_12"/>
      <w:bookmarkStart w:id="548" w:name="Tc_8GrGp-4IC0uBwfJkYk5F7w_13_8"/>
      <w:bookmarkStart w:id="549" w:name="Tc_ZIDLGpRMWUqohsC88CnZ7w_13_6"/>
      <w:bookmarkStart w:id="550" w:name="Tc_o9HQHCKho0Kmsp1VW8ElYg_13_4"/>
      <w:bookmarkStart w:id="551" w:name="Tc_CgQ1F4MnME6fxiSJq2dSFg_13_2"/>
      <w:bookmarkStart w:id="552" w:name="Tc_cmn-DZX4MkyszZZrTlR0SA_13_0"/>
      <w:bookmarkStart w:id="553" w:name="Tc_YNMBGnUxbkmpt67PRVSyaw_12_18"/>
      <w:bookmarkStart w:id="554" w:name="Tc_QRq0gSFIcEmHqRHcrV_Ovw_12_16"/>
      <w:bookmarkStart w:id="555" w:name="Tc_q9O63GOVDEe1Ge08pTb30w_12_14"/>
      <w:bookmarkStart w:id="556" w:name="Tc_NvzVU3NNIEqI8_TnGYkjSw_12_12"/>
      <w:bookmarkStart w:id="557" w:name="Tc_VR4peb_jg0mytnW_8cEJ3Q_12_10"/>
      <w:bookmarkStart w:id="558" w:name="Tc_Vg6jYfhC7UWRkQsQThVwwQ_12_6"/>
      <w:bookmarkStart w:id="559" w:name="Tc_gj9jT_MIY0GQqGZ5SMBA_g_12_4"/>
      <w:bookmarkStart w:id="560" w:name="Tc_u3laXeU22EOAZTgTHj84fw_12_2"/>
      <w:bookmarkStart w:id="561" w:name="Tc_XSmshymA9EKFB5TxJDYP_Q_12_0"/>
      <w:bookmarkStart w:id="562" w:name="Tc_7E1foLVP9kikpjdHrCuALg_11_18"/>
      <w:bookmarkStart w:id="563" w:name="Tc_mpqPFf7_EU2hyAD-BocSlQ_11_16"/>
      <w:bookmarkStart w:id="564" w:name="Tc_gx3LxCc41k2zLhr6LcTeeQ_11_14"/>
      <w:bookmarkStart w:id="565" w:name="Tc_UeryiYUEPUmVGf-P-dJt4w_11_10"/>
      <w:bookmarkStart w:id="566" w:name="Tc_TJ7bSu-99EeGGLeYxze10Q_11_8"/>
      <w:bookmarkStart w:id="567" w:name="Tc_Tz0v0sQFPU68w6W9W_bbwA_11_6"/>
      <w:bookmarkStart w:id="568" w:name="Tc_ldX63a0ljEW3lCgzNbcpiw_11_4"/>
      <w:bookmarkStart w:id="569" w:name="Tc_1A-xnypvq0iKLkkUjGLIqg_11_2"/>
      <w:bookmarkStart w:id="570" w:name="Tc_dwopNmpocE6_P4tcpDroiA_11_0"/>
      <w:bookmarkStart w:id="571" w:name="Tc_yUrQwfOi-0Shwd-qrR5IHA_10_16"/>
      <w:bookmarkStart w:id="572" w:name="Tc_O7Ypd9aKz0CjxlXnzX-3rQ_10_12"/>
      <w:bookmarkStart w:id="573" w:name="Tc_T55H3xatDUuOMHzQQ2qrCg_10_10"/>
      <w:bookmarkStart w:id="574" w:name="Tc_SecNqdAPwkKec_KXnX84Sw_10_8"/>
      <w:bookmarkStart w:id="575" w:name="Tc_uPRTiZ4lcEyK0ie2JHjMyg_10_6"/>
      <w:bookmarkStart w:id="576" w:name="Tc_XSC_xXOdF02aTyiZ3I2ucw_10_4"/>
      <w:bookmarkStart w:id="577" w:name="Tc_WR-qisOKaUChMGzHYJ9S5A_10_0"/>
      <w:bookmarkStart w:id="578" w:name="Tc_xhk2gBmVB02vgo_BRbHB3w_9_18"/>
      <w:bookmarkStart w:id="579" w:name="Tc_XhxqUGSnfUmnLNsPbDgV-g_9_16"/>
      <w:bookmarkStart w:id="580" w:name="Tc_Q_HlA4CMO0i4_IlM1ZAOAQ_9_12"/>
      <w:bookmarkStart w:id="581" w:name="Tc_yQ2Ru1OAdkGpsHtA4k1jnw_9_10"/>
      <w:bookmarkStart w:id="582" w:name="Tc_wfGm8cuoEk2thnY-swG0TQ_9_8"/>
      <w:bookmarkStart w:id="583" w:name="Tc_-ryWJdnVSESB3h4-CVNP4A_9_6"/>
      <w:bookmarkStart w:id="584" w:name="Tc_gauqyXa4aUyiq3tBdjCkTA_9_4"/>
      <w:bookmarkStart w:id="585" w:name="Tc_2bpX_XpbbUa7LfLbGtxJiA_9_0"/>
      <w:bookmarkStart w:id="586" w:name="Tc_pLz2A6C97EeR65W6GuHUXw_8_16"/>
      <w:bookmarkStart w:id="587" w:name="Tc_6si4WKLYGEKWPMuvDOBB1A_8_14"/>
      <w:bookmarkStart w:id="588" w:name="Tc_IU_aeTTLKke5tS_PPq1WoA_8_12"/>
      <w:bookmarkStart w:id="589" w:name="Tc_e61Lc_JvH0SkVPkTCjKZ_Q_8_10"/>
      <w:bookmarkStart w:id="590" w:name="Tc_Tn1S-7ovqUe3RUq10wc11w_8_8"/>
      <w:bookmarkStart w:id="591" w:name="Tc_YrWi8Aj2hkWRrhZl34L_pw_8_6"/>
      <w:bookmarkStart w:id="592" w:name="Tc_v6g1lx8qZUqZOSM7YMrkfg_8_4"/>
      <w:bookmarkStart w:id="593" w:name="Tc_gmyLHOeWz0C7d5QMjCvTxg_8_0"/>
      <w:bookmarkStart w:id="594" w:name="Tc_Y2EbhrnjCUu15j03cTXXHg_7_0"/>
      <w:bookmarkStart w:id="595" w:name="Tc_Bx2ZY9cARUaXZmYBFxOeJA_6_10"/>
      <w:bookmarkStart w:id="596" w:name="Tc_VhOpz4r-DEOlp7gSWcUa4Q_6_0"/>
      <w:bookmarkStart w:id="597" w:name="Tc_SHM4azCUyEKi3ks8RS0pbQ_5_16"/>
      <w:bookmarkStart w:id="598" w:name="Tc_6cD_qMUy_EqtwKU7swiO-A_5_14"/>
      <w:bookmarkStart w:id="599" w:name="Tc_gTqzQfYVdk65kOIKcAFzvQ_5_12"/>
      <w:bookmarkStart w:id="600" w:name="Tc_2HIfCQavhU22c0W8Fq8g6w_5_10"/>
      <w:bookmarkStart w:id="601" w:name="Tc_npdmsLIub0S8xF-fJM8VpA_5_8"/>
      <w:bookmarkStart w:id="602" w:name="Tc_qnWahsaW4UeM8Fmhr2lJHQ_5_6"/>
      <w:bookmarkStart w:id="603" w:name="Tc_llPo1PGlik6SfcYW068Zhg_5_4"/>
      <w:bookmarkStart w:id="604" w:name="Tc_bSYVgzRSrEqKWyQdxAMzVw_4_20"/>
      <w:bookmarkStart w:id="605" w:name="Tc_wIIdl6f_6EuxTslPu223Fw_4_18"/>
      <w:bookmarkStart w:id="606" w:name="Tc_xGvT-QHK0kCQ4K-w9CYe_w_4_16"/>
      <w:bookmarkStart w:id="607" w:name="Tc_qYAXifHDn0a8OU1ZJ43M5Q_4_14"/>
      <w:bookmarkStart w:id="608" w:name="Tc_QzbIsotmMkK4PceCmj6AZg_4_12"/>
      <w:bookmarkStart w:id="609" w:name="Tc_xo_RluJ1RUWi9sjo-gYirQ_4_10"/>
      <w:bookmarkStart w:id="610" w:name="Tc_OB7TXO7Mvkuq_4xAUvChoA_4_8"/>
      <w:bookmarkStart w:id="611" w:name="Tc_PgQWHeUx4UC2V9w0UuHu6w_4_6"/>
      <w:bookmarkStart w:id="612" w:name="Tc_urTwpw9mOU-oqCi3YCV5xA_4_4"/>
      <w:bookmarkStart w:id="613" w:name="Tc_PR5VxIXIAEajkNfvSjBK3Q_3_20"/>
      <w:bookmarkStart w:id="614" w:name="Tc_NBvJ5PPFmUmMGq7fYvzAfw_3_18"/>
      <w:bookmarkStart w:id="615" w:name="Tc_JZ1oOyBmHUKZcTszQerRMg_3_16"/>
      <w:bookmarkStart w:id="616" w:name="Tc_AYjXTBHwxkCY8xzBaItcKg_3_14"/>
      <w:bookmarkStart w:id="617" w:name="Tc_36Ka_l8YgEuaq3nnRQIXcQ_3_12"/>
      <w:bookmarkStart w:id="618" w:name="Tc_3ThcZKgM5UOoZ9JT8mCDSA_3_10"/>
      <w:bookmarkStart w:id="619" w:name="Tc_6GcpwQnl-k6nKZn3JIw2LA_3_8"/>
      <w:bookmarkStart w:id="620" w:name="Tc_-qbaXP5dLEWy_QBJVt8tAw_3_6"/>
      <w:bookmarkStart w:id="621" w:name="Tc_YXa-wd9gJkmRZri_q9X1pw_3_4"/>
      <w:bookmarkStart w:id="622" w:name="Tc_IlUcfWPzh0WCb-PfjY8mUQ_3_2"/>
      <w:bookmarkStart w:id="623" w:name="Tc_tZPKYC4-okaIWFx6sWkErA_2_20"/>
      <w:bookmarkStart w:id="624" w:name="Tc_WL2CvGpPSUqBqGZB2_klyg_2_18"/>
      <w:bookmarkStart w:id="625" w:name="Tc_CUwL7S3mHkChkULrtVn_LA_2_16"/>
      <w:bookmarkStart w:id="626" w:name="Tc_zjwL49T-OUiGmmyd8bEYEg_2_14"/>
      <w:bookmarkStart w:id="627" w:name="Tc_NKQKR8sFa0y4sK3_RpvEqQ_2_12"/>
      <w:bookmarkStart w:id="628" w:name="Tc_mtDj9rBarECJlaQVPncw1w_2_10"/>
      <w:bookmarkStart w:id="629" w:name="Tc_mF14gbbb-kiB-XY8RAYsGg_2_8"/>
      <w:bookmarkStart w:id="630" w:name="Tc_7QRzLCs-ok6qFTptYURaYw_2_6"/>
      <w:bookmarkStart w:id="631" w:name="Tc_gkL8UhZhj0uKftFpt9nxxQ_2_4"/>
      <w:bookmarkStart w:id="632" w:name="Tc_b3V0BXsEEE-JPG3ztxsWcg_1_12"/>
      <w:bookmarkStart w:id="633" w:name="Tc_82vdNvdREE2wFHmg2oBAIg_1_6"/>
      <w:bookmarkStart w:id="634" w:name="Tc_TcA8TPJwtkeGIWGbYRVGvQ_1_4"/>
      <w:bookmarkStart w:id="635" w:name="_79f1c61c_78fc_4187_bbe6_8c49b3502724"/>
      <w:bookmarkStart w:id="636" w:name="Tc_3dS-pVJBrEyt__z-Hsj_UA_15_0"/>
      <w:bookmarkStart w:id="637" w:name="Tc_SBq5QnXBPk61KvpQ6k1-3g_14_18"/>
      <w:bookmarkStart w:id="638" w:name="Tc_Bg2_dyNma0aIklCGMdgKdQ_14_16"/>
      <w:bookmarkStart w:id="639" w:name="Tc_PG7mOAzlqEuayLRBeycLmA_14_14"/>
      <w:bookmarkStart w:id="640" w:name="Tc_rd_my3jeakKkKgT42G0Zqw_14_6"/>
      <w:bookmarkStart w:id="641" w:name="Tc_HsQE4cIfjEmkbz8QhkXnEg_14_4"/>
      <w:bookmarkStart w:id="642" w:name="Tc_KEpXr9p_y0KshYC6S0xVTw_13_18"/>
      <w:bookmarkStart w:id="643" w:name="Tc_pslLjjsZJkKE1JtNabnnSg_13_16"/>
      <w:bookmarkStart w:id="644" w:name="Tc_RIYCVsL6mkmdQe-qRaJexw_13_14"/>
      <w:bookmarkStart w:id="645" w:name="Tc_WB9mhaFcLEy1IAuftYL_bg_13_12"/>
      <w:bookmarkStart w:id="646" w:name="Tc_8GrGp-4IC0uBwfJkYk5F7w_13_8"/>
      <w:bookmarkStart w:id="647" w:name="Tc_ZIDLGpRMWUqohsC88CnZ7w_13_6"/>
      <w:bookmarkStart w:id="648" w:name="Tc_o9HQHCKho0Kmsp1VW8ElYg_13_4"/>
      <w:bookmarkStart w:id="649" w:name="Tc_CgQ1F4MnME6fxiSJq2dSFg_13_2"/>
      <w:bookmarkStart w:id="650" w:name="Tc_cmn-DZX4MkyszZZrTlR0SA_13_0"/>
      <w:bookmarkStart w:id="651" w:name="Tc_YNMBGnUxbkmpt67PRVSyaw_12_18"/>
      <w:bookmarkStart w:id="652" w:name="Tc_QRq0gSFIcEmHqRHcrV_Ovw_12_16"/>
      <w:bookmarkStart w:id="653" w:name="Tc_q9O63GOVDEe1Ge08pTb30w_12_14"/>
      <w:bookmarkStart w:id="654" w:name="Tc_NvzVU3NNIEqI8_TnGYkjSw_12_12"/>
      <w:bookmarkStart w:id="655" w:name="Tc_VR4peb_jg0mytnW_8cEJ3Q_12_10"/>
      <w:bookmarkStart w:id="656" w:name="Tc_Vg6jYfhC7UWRkQsQThVwwQ_12_6"/>
      <w:bookmarkStart w:id="657" w:name="Tc_gj9jT_MIY0GQqGZ5SMBA_g_12_4"/>
      <w:bookmarkStart w:id="658" w:name="Tc_u3laXeU22EOAZTgTHj84fw_12_2"/>
      <w:bookmarkStart w:id="659" w:name="Tc_XSmshymA9EKFB5TxJDYP_Q_12_0"/>
      <w:bookmarkStart w:id="660" w:name="Tc_7E1foLVP9kikpjdHrCuALg_11_18"/>
      <w:bookmarkStart w:id="661" w:name="Tc_mpqPFf7_EU2hyAD-BocSlQ_11_16"/>
      <w:bookmarkStart w:id="662" w:name="Tc_gx3LxCc41k2zLhr6LcTeeQ_11_14"/>
      <w:bookmarkStart w:id="663" w:name="Tc_UeryiYUEPUmVGf-P-dJt4w_11_10"/>
      <w:bookmarkStart w:id="664" w:name="Tc_TJ7bSu-99EeGGLeYxze10Q_11_8"/>
      <w:bookmarkStart w:id="665" w:name="Tc_Tz0v0sQFPU68w6W9W_bbwA_11_6"/>
      <w:bookmarkStart w:id="666" w:name="Tc_ldX63a0ljEW3lCgzNbcpiw_11_4"/>
      <w:bookmarkStart w:id="667" w:name="Tc_1A-xnypvq0iKLkkUjGLIqg_11_2"/>
      <w:bookmarkStart w:id="668" w:name="Tc_dwopNmpocE6_P4tcpDroiA_11_0"/>
      <w:bookmarkStart w:id="669" w:name="Tc_yUrQwfOi-0Shwd-qrR5IHA_10_16"/>
      <w:bookmarkStart w:id="670" w:name="Tc_O7Ypd9aKz0CjxlXnzX-3rQ_10_12"/>
      <w:bookmarkStart w:id="671" w:name="Tc_T55H3xatDUuOMHzQQ2qrCg_10_10"/>
      <w:bookmarkStart w:id="672" w:name="Tc_SecNqdAPwkKec_KXnX84Sw_10_8"/>
      <w:bookmarkStart w:id="673" w:name="Tc_uPRTiZ4lcEyK0ie2JHjMyg_10_6"/>
      <w:bookmarkStart w:id="674" w:name="Tc_XSC_xXOdF02aTyiZ3I2ucw_10_4"/>
      <w:bookmarkStart w:id="675" w:name="Tc_WR-qisOKaUChMGzHYJ9S5A_10_0"/>
      <w:bookmarkStart w:id="676" w:name="Tc_xhk2gBmVB02vgo_BRbHB3w_9_18"/>
      <w:bookmarkStart w:id="677" w:name="Tc_XhxqUGSnfUmnLNsPbDgV-g_9_16"/>
      <w:bookmarkStart w:id="678" w:name="Tc_Q_HlA4CMO0i4_IlM1ZAOAQ_9_12"/>
      <w:bookmarkStart w:id="679" w:name="Tc_yQ2Ru1OAdkGpsHtA4k1jnw_9_10"/>
      <w:bookmarkStart w:id="680" w:name="Tc_wfGm8cuoEk2thnY-swG0TQ_9_8"/>
      <w:bookmarkStart w:id="681" w:name="Tc_-ryWJdnVSESB3h4-CVNP4A_9_6"/>
      <w:bookmarkStart w:id="682" w:name="Tc_gauqyXa4aUyiq3tBdjCkTA_9_4"/>
      <w:bookmarkStart w:id="683" w:name="Tc_2bpX_XpbbUa7LfLbGtxJiA_9_0"/>
      <w:bookmarkStart w:id="684" w:name="Tc_pLz2A6C97EeR65W6GuHUXw_8_16"/>
      <w:bookmarkStart w:id="685" w:name="Tc_6si4WKLYGEKWPMuvDOBB1A_8_14"/>
      <w:bookmarkStart w:id="686" w:name="Tc_IU_aeTTLKke5tS_PPq1WoA_8_12"/>
      <w:bookmarkStart w:id="687" w:name="Tc_e61Lc_JvH0SkVPkTCjKZ_Q_8_10"/>
      <w:bookmarkStart w:id="688" w:name="Tc_Tn1S-7ovqUe3RUq10wc11w_8_8"/>
      <w:bookmarkStart w:id="689" w:name="Tc_YrWi8Aj2hkWRrhZl34L_pw_8_6"/>
      <w:bookmarkStart w:id="690" w:name="Tc_v6g1lx8qZUqZOSM7YMrkfg_8_4"/>
      <w:bookmarkStart w:id="691" w:name="Tc_gmyLHOeWz0C7d5QMjCvTxg_8_0"/>
      <w:bookmarkStart w:id="692" w:name="Tc_Y2EbhrnjCUu15j03cTXXHg_7_0"/>
      <w:bookmarkStart w:id="693" w:name="Tc_Bx2ZY9cARUaXZmYBFxOeJA_6_10"/>
      <w:bookmarkStart w:id="694" w:name="Tc_VhOpz4r-DEOlp7gSWcUa4Q_6_0"/>
      <w:bookmarkStart w:id="695" w:name="Tc_SHM4azCUyEKi3ks8RS0pbQ_5_16"/>
      <w:bookmarkStart w:id="696" w:name="Tc_6cD_qMUy_EqtwKU7swiO-A_5_14"/>
      <w:bookmarkStart w:id="697" w:name="Tc_gTqzQfYVdk65kOIKcAFzvQ_5_12"/>
      <w:bookmarkStart w:id="698" w:name="Tc_2HIfCQavhU22c0W8Fq8g6w_5_10"/>
      <w:bookmarkStart w:id="699" w:name="Tc_npdmsLIub0S8xF-fJM8VpA_5_8"/>
      <w:bookmarkStart w:id="700" w:name="Tc_qnWahsaW4UeM8Fmhr2lJHQ_5_6"/>
      <w:bookmarkStart w:id="701" w:name="Tc_llPo1PGlik6SfcYW068Zhg_5_4"/>
      <w:bookmarkStart w:id="702" w:name="Tc_bSYVgzRSrEqKWyQdxAMzVw_4_20"/>
      <w:bookmarkStart w:id="703" w:name="Tc_wIIdl6f_6EuxTslPu223Fw_4_18"/>
      <w:bookmarkStart w:id="704" w:name="Tc_xGvT-QHK0kCQ4K-w9CYe_w_4_16"/>
      <w:bookmarkStart w:id="705" w:name="Tc_qYAXifHDn0a8OU1ZJ43M5Q_4_14"/>
      <w:bookmarkStart w:id="706" w:name="Tc_QzbIsotmMkK4PceCmj6AZg_4_12"/>
      <w:bookmarkStart w:id="707" w:name="Tc_xo_RluJ1RUWi9sjo-gYirQ_4_10"/>
      <w:bookmarkStart w:id="708" w:name="Tc_OB7TXO7Mvkuq_4xAUvChoA_4_8"/>
      <w:bookmarkStart w:id="709" w:name="Tc_PgQWHeUx4UC2V9w0UuHu6w_4_6"/>
      <w:bookmarkStart w:id="710" w:name="Tc_urTwpw9mOU-oqCi3YCV5xA_4_4"/>
      <w:bookmarkStart w:id="711" w:name="Tc_PR5VxIXIAEajkNfvSjBK3Q_3_20"/>
      <w:bookmarkStart w:id="712" w:name="Tc_NBvJ5PPFmUmMGq7fYvzAfw_3_18"/>
      <w:bookmarkStart w:id="713" w:name="Tc_JZ1oOyBmHUKZcTszQerRMg_3_16"/>
      <w:bookmarkStart w:id="714" w:name="Tc_AYjXTBHwxkCY8xzBaItcKg_3_14"/>
      <w:bookmarkStart w:id="715" w:name="Tc_36Ka_l8YgEuaq3nnRQIXcQ_3_12"/>
      <w:bookmarkStart w:id="716" w:name="Tc_3ThcZKgM5UOoZ9JT8mCDSA_3_10"/>
      <w:bookmarkStart w:id="717" w:name="Tc_6GcpwQnl-k6nKZn3JIw2LA_3_8"/>
      <w:bookmarkStart w:id="718" w:name="Tc_-qbaXP5dLEWy_QBJVt8tAw_3_6"/>
      <w:bookmarkStart w:id="719" w:name="Tc_YXa-wd9gJkmRZri_q9X1pw_3_4"/>
      <w:bookmarkStart w:id="720" w:name="Tc_IlUcfWPzh0WCb-PfjY8mUQ_3_2"/>
      <w:bookmarkStart w:id="721" w:name="Tc_tZPKYC4-okaIWFx6sWkErA_2_20"/>
      <w:bookmarkStart w:id="722" w:name="Tc_WL2CvGpPSUqBqGZB2_klyg_2_18"/>
      <w:bookmarkStart w:id="723" w:name="Tc_CUwL7S3mHkChkULrtVn_LA_2_16"/>
      <w:bookmarkStart w:id="724" w:name="Tc_zjwL49T-OUiGmmyd8bEYEg_2_14"/>
      <w:bookmarkStart w:id="725" w:name="Tc_NKQKR8sFa0y4sK3_RpvEqQ_2_12"/>
      <w:bookmarkStart w:id="726" w:name="Tc_mtDj9rBarECJlaQVPncw1w_2_10"/>
      <w:bookmarkStart w:id="727" w:name="Tc_mF14gbbb-kiB-XY8RAYsGg_2_8"/>
      <w:bookmarkStart w:id="728" w:name="Tc_7QRzLCs-ok6qFTptYURaYw_2_6"/>
      <w:bookmarkStart w:id="729" w:name="Tc_gkL8UhZhj0uKftFpt9nxxQ_2_4"/>
      <w:bookmarkStart w:id="730" w:name="Tc_b3V0BXsEEE-JPG3ztxsWcg_1_12"/>
      <w:bookmarkStart w:id="731" w:name="Tc_82vdNvdREE2wFHmg2oBAIg_1_6"/>
      <w:bookmarkStart w:id="732" w:name="Tc_TcA8TPJwtkeGIWGbYRVGvQ_1_4"/>
      <w:bookmarkStart w:id="733" w:name="_79f1c61c_78fc_4187_bbe6_8c49b3502724"/>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tbl>
      <w:tblPr>
        <w:tblW w:w="13116" w:type="dxa"/>
        <w:jc w:val="left"/>
        <w:tblInd w:w="0" w:type="dxa"/>
        <w:tblLayout w:type="fixed"/>
        <w:tblCellMar>
          <w:top w:w="0" w:type="dxa"/>
          <w:left w:w="0" w:type="dxa"/>
          <w:bottom w:w="0" w:type="dxa"/>
          <w:right w:w="0" w:type="dxa"/>
        </w:tblCellMar>
      </w:tblPr>
      <w:tblGrid>
        <w:gridCol w:w="1186"/>
        <w:gridCol w:w="346"/>
        <w:gridCol w:w="436"/>
        <w:gridCol w:w="346"/>
        <w:gridCol w:w="751"/>
        <w:gridCol w:w="346"/>
        <w:gridCol w:w="751"/>
        <w:gridCol w:w="346"/>
        <w:gridCol w:w="916"/>
        <w:gridCol w:w="346"/>
        <w:gridCol w:w="766"/>
        <w:gridCol w:w="346"/>
        <w:gridCol w:w="1096"/>
        <w:gridCol w:w="346"/>
        <w:gridCol w:w="946"/>
        <w:gridCol w:w="346"/>
        <w:gridCol w:w="826"/>
        <w:gridCol w:w="346"/>
        <w:gridCol w:w="1051"/>
        <w:gridCol w:w="346"/>
        <w:gridCol w:w="93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53110" cy="175260"/>
                      <wp:effectExtent l="0" t="0" r="0" b="0"/>
                      <wp:wrapNone/>
                      <wp:docPr id="159" name="Frame15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76860" cy="175260"/>
                      <wp:effectExtent l="0" t="0" r="0" b="0"/>
                      <wp:wrapNone/>
                      <wp:docPr id="161" name="Frame16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6885" cy="175260"/>
                      <wp:effectExtent l="0" t="0" r="0" b="0"/>
                      <wp:wrapNone/>
                      <wp:docPr id="163" name="Frame16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76885" cy="175260"/>
                      <wp:effectExtent l="0" t="0" r="0" b="0"/>
                      <wp:wrapNone/>
                      <wp:docPr id="165" name="Frame16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81660" cy="175260"/>
                      <wp:effectExtent l="0" t="0" r="0" b="0"/>
                      <wp:wrapNone/>
                      <wp:docPr id="167" name="Frame1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86410" cy="175260"/>
                      <wp:effectExtent l="0" t="0" r="0" b="0"/>
                      <wp:wrapNone/>
                      <wp:docPr id="169" name="Frame16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5960" cy="175260"/>
                      <wp:effectExtent l="0" t="0" r="0" b="0"/>
                      <wp:wrapNone/>
                      <wp:docPr id="171" name="Frame17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00710" cy="175260"/>
                      <wp:effectExtent l="0" t="0" r="0" b="0"/>
                      <wp:wrapNone/>
                      <wp:docPr id="173" name="Frame1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24510" cy="175260"/>
                      <wp:effectExtent l="0" t="0" r="0" b="0"/>
                      <wp:wrapNone/>
                      <wp:docPr id="175" name="Frame1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7385" cy="175260"/>
                      <wp:effectExtent l="0" t="0" r="0" b="0"/>
                      <wp:wrapNone/>
                      <wp:docPr id="177" name="Frame1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1185" cy="175260"/>
                      <wp:effectExtent l="0" t="0" r="0" b="0"/>
                      <wp:wrapNone/>
                      <wp:docPr id="179" name="Frame1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Class A</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Class B</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6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Share-based</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4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2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51"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31" w:type="dxa"/>
            <w:tcBorders/>
            <w:vAlign w:val="center"/>
          </w:tcPr>
          <w:p>
            <w:pPr>
              <w:pStyle w:val="TableContents"/>
              <w:bidi w:val="0"/>
              <w:spacing w:before="0" w:after="1"/>
              <w:ind w:left="0" w:right="0" w:hanging="0"/>
              <w:jc w:val="center"/>
              <w:rPr>
                <w:color w:val="221F1F"/>
              </w:rPr>
            </w:pPr>
            <w:r>
              <w:rPr>
                <w:color w:val="221F1F"/>
              </w:rPr>
              <w:t>​</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ordinary</w:t>
            </w:r>
          </w:p>
        </w:tc>
        <w:tc>
          <w:tcPr>
            <w:tcW w:w="34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Share</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Treasury</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Other</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Accumulated</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21F1F"/>
                <w:sz w:val="16"/>
              </w:rPr>
            </w:pPr>
            <w:r>
              <w:rPr>
                <w:rFonts w:ascii="Times New Roman;Times;serif" w:hAnsi="Times New Roman;Times;serif"/>
                <w:color w:val="221F1F"/>
                <w:sz w:val="16"/>
              </w:rPr>
              <w:t>Note</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premium</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shares</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reserves</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losses</w:t>
            </w:r>
          </w:p>
        </w:tc>
        <w:tc>
          <w:tcPr>
            <w:tcW w:w="346" w:type="dxa"/>
            <w:tcBorders/>
            <w:vAlign w:val="center"/>
          </w:tcPr>
          <w:p>
            <w:pPr>
              <w:pStyle w:val="TableContents"/>
              <w:bidi w:val="0"/>
              <w:spacing w:before="0" w:after="1"/>
              <w:ind w:left="0" w:right="0" w:hanging="0"/>
              <w:jc w:val="center"/>
              <w:rPr>
                <w:color w:val="221F1F"/>
              </w:rPr>
            </w:pPr>
            <w:r>
              <w:rPr>
                <w:color w:val="221F1F"/>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RMB’000 </w:t>
            </w:r>
          </w:p>
        </w:tc>
      </w:tr>
      <w:tr>
        <w:trPr/>
        <w:tc>
          <w:tcPr>
            <w:tcW w:w="1186" w:type="dxa"/>
            <w:tcBorders/>
            <w:vAlign w:val="center"/>
          </w:tcPr>
          <w:p>
            <w:pPr>
              <w:pStyle w:val="TableContents"/>
              <w:bidi w:val="0"/>
              <w:spacing w:before="0" w:after="1"/>
              <w:ind w:left="0" w:right="0" w:hanging="0"/>
              <w:jc w:val="left"/>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436"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23(a)</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23(a)</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23(a)</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23(b)</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23(c)(i)</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23(c)(ii)</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color w:val="221F1F"/>
                <w:sz w:val="16"/>
              </w:rPr>
            </w:pPr>
            <w:r>
              <w:rPr>
                <w:rFonts w:ascii="Times New Roman;Times;serif" w:hAnsi="Times New Roman;Times;serif"/>
                <w:b/>
                <w:color w:val="221F1F"/>
                <w:sz w:val="16"/>
              </w:rPr>
              <w:t>Note 23(c) (iii)</w:t>
            </w:r>
          </w:p>
        </w:tc>
        <w:tc>
          <w:tcPr>
            <w:tcW w:w="346" w:type="dxa"/>
            <w:tcBorders/>
            <w:vAlign w:val="center"/>
          </w:tcPr>
          <w:p>
            <w:pPr>
              <w:pStyle w:val="TableContents"/>
              <w:bidi w:val="0"/>
              <w:spacing w:before="0" w:after="1"/>
              <w:ind w:left="0" w:right="0" w:hanging="0"/>
              <w:jc w:val="center"/>
              <w:rPr>
                <w:color w:val="221F1F"/>
              </w:rPr>
            </w:pPr>
            <w:r>
              <w:rPr>
                <w:color w:val="221F1F"/>
              </w:rPr>
              <w:t>​</w:t>
            </w:r>
          </w:p>
        </w:tc>
        <w:tc>
          <w:tcPr>
            <w:tcW w:w="1051" w:type="dxa"/>
            <w:tcBorders/>
            <w:vAlign w:val="center"/>
          </w:tcPr>
          <w:p>
            <w:pPr>
              <w:pStyle w:val="TableContents"/>
              <w:bidi w:val="0"/>
              <w:spacing w:before="0" w:after="1"/>
              <w:ind w:left="0" w:right="0" w:hanging="0"/>
              <w:jc w:val="center"/>
              <w:rPr>
                <w:color w:val="221F1F"/>
              </w:rPr>
            </w:pPr>
            <w:r>
              <w:rPr>
                <w:color w:val="221F1F"/>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14,962,531</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2,523,287</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(318,313)</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1,018,848</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(10,286,252)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7,900,174</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equity for the six months ended June 30, 2026</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436" w:type="dxa"/>
            <w:tcBorders/>
            <w:shd w:fill="CCEEFF" w:val="clear"/>
            <w:vAlign w:val="center"/>
          </w:tcPr>
          <w:p>
            <w:pPr>
              <w:pStyle w:val="TableContents"/>
              <w:bidi w:val="0"/>
              <w:spacing w:before="0" w:after="1"/>
              <w:ind w:left="0" w:right="0" w:hanging="0"/>
              <w:jc w:val="right"/>
              <w:rPr>
                <w:color w:val="221F1F"/>
              </w:rPr>
            </w:pPr>
            <w:r>
              <w:rPr>
                <w:color w:val="221F1F"/>
              </w:rPr>
              <w:t>  ​</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6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9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4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(789,750)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(789,750)</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 net of nil income taxes</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436" w:type="dxa"/>
            <w:tcBorders/>
            <w:vAlign w:val="center"/>
          </w:tcPr>
          <w:p>
            <w:pPr>
              <w:pStyle w:val="TableContents"/>
              <w:bidi w:val="0"/>
              <w:spacing w:before="0" w:after="1"/>
              <w:ind w:left="0" w:right="0" w:hanging="0"/>
              <w:jc w:val="right"/>
              <w:rPr>
                <w:color w:val="221F1F"/>
              </w:rPr>
            </w:pPr>
            <w:r>
              <w:rPr>
                <w:color w:val="221F1F"/>
              </w:rPr>
              <w:t>  ​</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(172,106)</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(172,106)</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comprehensive loss</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436" w:type="dxa"/>
            <w:tcBorders/>
            <w:shd w:fill="CCEEFF" w:val="clear"/>
            <w:vAlign w:val="center"/>
          </w:tcPr>
          <w:p>
            <w:pPr>
              <w:pStyle w:val="TableContents"/>
              <w:bidi w:val="0"/>
              <w:spacing w:before="0" w:after="1"/>
              <w:ind w:left="0" w:right="0" w:hanging="0"/>
              <w:jc w:val="right"/>
              <w:rPr>
                <w:color w:val="221F1F"/>
              </w:rPr>
            </w:pPr>
            <w:r>
              <w:rPr>
                <w:color w:val="221F1F"/>
              </w:rPr>
              <w:t>  ​</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(172,106)</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(789,750)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(961,856)</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expenses</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6(i)</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5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5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1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76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119,210</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4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51" w:type="dxa"/>
            <w:tcBorders/>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119,210</w:t>
            </w:r>
          </w:p>
        </w:tc>
      </w:tr>
      <w:tr>
        <w:trPr/>
        <w:tc>
          <w:tcPr>
            <w:tcW w:w="11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Class A ordinary shares for exercise of share options</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23(a)(ii)</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5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5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22,583</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76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9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4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826"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1051" w:type="dxa"/>
            <w:tcBorders/>
            <w:shd w:fill="CCEEFF" w:val="cle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22,583</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Class A ordinary shares</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23(b)</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(684,809)</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vAlign w:val="center"/>
          </w:tcPr>
          <w:p>
            <w:pPr>
              <w:pStyle w:val="TableContents"/>
              <w:bidi w:val="0"/>
              <w:spacing w:before="0" w:after="1"/>
              <w:ind w:left="0" w:right="0" w:hanging="0"/>
              <w:jc w:val="left"/>
              <w:rPr>
                <w:color w:val="221F1F"/>
              </w:rPr>
            </w:pPr>
            <w:r>
              <w:rPr>
                <w:color w:val="221F1F"/>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(684,809)</w:t>
            </w:r>
          </w:p>
        </w:tc>
      </w:tr>
      <w:tr>
        <w:trPr/>
        <w:tc>
          <w:tcPr>
            <w:tcW w:w="118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436" w:type="dxa"/>
            <w:tcBorders/>
            <w:shd w:fill="CCEEFF" w:val="clear"/>
            <w:vAlign w:val="center"/>
          </w:tcPr>
          <w:p>
            <w:pPr>
              <w:pStyle w:val="TableContents"/>
              <w:bidi w:val="0"/>
              <w:spacing w:before="0" w:after="1"/>
              <w:ind w:left="0" w:right="0" w:hanging="0"/>
              <w:jc w:val="lef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22,583</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(684,809)</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119,210</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21F1F"/>
              </w:rPr>
            </w:pPr>
            <w:r>
              <w:rPr>
                <w:color w:val="221F1F"/>
              </w:rPr>
              <w:t>—</w:t>
            </w:r>
          </w:p>
        </w:tc>
        <w:tc>
          <w:tcPr>
            <w:tcW w:w="346" w:type="dxa"/>
            <w:tcBorders/>
            <w:shd w:fill="CCEEFF" w:val="clear"/>
            <w:vAlign w:val="center"/>
          </w:tcPr>
          <w:p>
            <w:pPr>
              <w:pStyle w:val="TableContents"/>
              <w:bidi w:val="0"/>
              <w:spacing w:before="0" w:after="1"/>
              <w:ind w:left="0" w:right="0" w:hanging="0"/>
              <w:jc w:val="left"/>
              <w:rPr>
                <w:color w:val="221F1F"/>
              </w:rPr>
            </w:pPr>
            <w:r>
              <w:rPr>
                <w:color w:val="221F1F"/>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21F1F"/>
                <w:sz w:val="16"/>
              </w:rPr>
            </w:pPr>
            <w:r>
              <w:rPr>
                <w:rFonts w:ascii="Times New Roman;Times;serif" w:hAnsi="Times New Roman;Times;serif"/>
                <w:b/>
                <w:color w:val="221F1F"/>
                <w:sz w:val="16"/>
              </w:rPr>
              <w:t>(543,016)</w:t>
            </w:r>
          </w:p>
        </w:tc>
      </w:tr>
      <w:tr>
        <w:trPr/>
        <w:tc>
          <w:tcPr>
            <w:tcW w:w="118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14,985,114</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(684,809)</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2,642,497</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(490,419)</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1,018,848</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(11,076,002)</w:t>
            </w:r>
          </w:p>
        </w:tc>
        <w:tc>
          <w:tcPr>
            <w:tcW w:w="346" w:type="dxa"/>
            <w:tcBorders/>
            <w:vAlign w:val="center"/>
          </w:tcPr>
          <w:p>
            <w:pPr>
              <w:pStyle w:val="TableContents"/>
              <w:bidi w:val="0"/>
              <w:spacing w:before="0" w:after="1"/>
              <w:ind w:left="0" w:right="0" w:hanging="0"/>
              <w:jc w:val="left"/>
              <w:rPr>
                <w:color w:val="221F1F"/>
              </w:rPr>
            </w:pPr>
            <w:r>
              <w:rPr>
                <w:color w:val="221F1F"/>
              </w:rPr>
              <w:t> </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6,395,302</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Represents amounts less than RMB1,000.</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34" w:name="StatementsofCashFlows_754498"/>
      <w:bookmarkStart w:id="735" w:name="_66a2ff51_83b3_4b5c_a5d2_37bbfea3b050"/>
      <w:bookmarkEnd w:id="734"/>
      <w:bookmarkEnd w:id="735"/>
      <w:r>
        <w:rPr>
          <w:rFonts w:ascii="Times New Roman;Times;serif" w:hAnsi="Times New Roman;Times;serif"/>
          <w:b/>
          <w:sz w:val="20"/>
        </w:rPr>
        <w:t>UNAUDITED CONDENSED CONSOLIDATED STATEMENT OF CASH FLOWS</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thousands of RMB)</w:t>
      </w:r>
    </w:p>
    <w:p>
      <w:pPr>
        <w:pStyle w:val="Normal"/>
        <w:bidi w:val="0"/>
        <w:spacing w:before="0" w:after="0"/>
        <w:jc w:val="left"/>
        <w:rPr>
          <w:sz w:val="4"/>
          <w:szCs w:val="4"/>
        </w:rPr>
      </w:pPr>
      <w:r>
        <w:rPr>
          <w:sz w:val="4"/>
          <w:szCs w:val="4"/>
        </w:rPr>
      </w:r>
      <w:bookmarkStart w:id="736" w:name="Tc_jN9-V-Tf3UigUPhKmHoIGQ_37_2"/>
      <w:bookmarkStart w:id="737" w:name="Tc_8kEdrqqz7kCf-8pzuFcofA_37_0"/>
      <w:bookmarkStart w:id="738" w:name="Tc_ajRLks2kREeWlayoKL5SaQ_36_0"/>
      <w:bookmarkStart w:id="739" w:name="Tc_UKMhOn0WUUeWeXEPnIG4Zg_35_2"/>
      <w:bookmarkStart w:id="740" w:name="Tc_beVbBjoUekmL3MXyWR4p5Q_35_0"/>
      <w:bookmarkStart w:id="741" w:name="Tc_npqZNUeAu0C_M48AMKwSYw_34_0"/>
      <w:bookmarkStart w:id="742" w:name="Tc_V4Q_A_CviEuQpNksz1Jzfg_33_0"/>
      <w:bookmarkStart w:id="743" w:name="Tc_iqTSEnoHwEyciF0YQGsDKg_32_4"/>
      <w:bookmarkStart w:id="744" w:name="Tc_giVUQArR50OdRE4alJJV0g_32_2"/>
      <w:bookmarkStart w:id="745" w:name="Tc_xFmiciY1TE-HE2rikhoVTA_32_0"/>
      <w:bookmarkStart w:id="746" w:name="Tc_oyASlHG8sEOQzkHaZbna3g_31_0"/>
      <w:bookmarkStart w:id="747" w:name="Tc_HG7GTCo9EEiVmp7l33t92A_30_0"/>
      <w:bookmarkStart w:id="748" w:name="Tc_WBjETdRfSESZ5QEo-VO2GA_29_0"/>
      <w:bookmarkStart w:id="749" w:name="Tc_mw-kYevsUkqC0ooFEvzpFA_28_4"/>
      <w:bookmarkStart w:id="750" w:name="Tc_zrKEavCWAkyLmMj5ywvhxA_28_2"/>
      <w:bookmarkStart w:id="751" w:name="Tc_buYNAI1UEEC6ae9GF1m1pg_28_0"/>
      <w:bookmarkStart w:id="752" w:name="Tc_3vIVNTGk2EyWqAtBz0s_jg_27_6"/>
      <w:bookmarkStart w:id="753" w:name="Tc_PFp_SApE9EyGpYkTZAu7Vg_27_0"/>
      <w:bookmarkStart w:id="754" w:name="Tc_TlfRkJXOu0WMKHipiNCTyw_26_2"/>
      <w:bookmarkStart w:id="755" w:name="Tc_uZ9Zr-KadUWWq5--AqGxfQ_26_0"/>
      <w:bookmarkStart w:id="756" w:name="Tc_TRF0UGXUl0awbWM-VfShcQ_25_6"/>
      <w:bookmarkStart w:id="757" w:name="Tc_ecva5JhquEuLcVydIpxbuA_25_0"/>
      <w:bookmarkStart w:id="758" w:name="Tc_5S7NV6SpLUSOcn7dW6Wbxg_24_0"/>
      <w:bookmarkStart w:id="759" w:name="Tc_dm4wrGwKikKD042EB5z6mA_23_0"/>
      <w:bookmarkStart w:id="760" w:name="Tc_tDvxz7yH7UOHa0DVqS7tLg_22_0"/>
      <w:bookmarkStart w:id="761" w:name="Tc_WLBHZqPkZ0aTJcbjvGgDag_21_0"/>
      <w:bookmarkStart w:id="762" w:name="Tc_YWUVmGUvuEuNB--FQKE4uQ_20_6"/>
      <w:bookmarkStart w:id="763" w:name="Tc_18hNFLGR4E2JAzrnHUImyQ_20_0"/>
      <w:bookmarkStart w:id="764" w:name="Tc__MR0o0ILMESOVuFulFoUpw_19_6"/>
      <w:bookmarkStart w:id="765" w:name="Tc_GAvPitYfv0GSu-ngLe1SVQ_19_0"/>
      <w:bookmarkStart w:id="766" w:name="Tc_QjtWXP-qokypBq6uQCTa8Q_18_4"/>
      <w:bookmarkStart w:id="767" w:name="Tc_OpxRHKMLgUuVCJJWa2eK1Q_18_0"/>
      <w:bookmarkStart w:id="768" w:name="Tc_FMvRKsCRS0-2JGkZToJ-VQ_17_4"/>
      <w:bookmarkStart w:id="769" w:name="Tc_eo1gPXQGPUKHQxTq8WyBgA_17_0"/>
      <w:bookmarkStart w:id="770" w:name="Tc_E5Ps5RwftkeFRTRNYiCkMg_16_2"/>
      <w:bookmarkStart w:id="771" w:name="Tc_KA9O8LWpckKqFhwZVeLtFA_16_0"/>
      <w:bookmarkStart w:id="772" w:name="Tc_Mf3tdSzmFU6ftJ4-rH4fGg_15_2"/>
      <w:bookmarkStart w:id="773" w:name="Tc_7c0dDQlFekqV7eY8ir3WXA_15_0"/>
      <w:bookmarkStart w:id="774" w:name="Tc_SzBAzi6THUCgimcx8g2F7g_14_0"/>
      <w:bookmarkStart w:id="775" w:name="Tc_TN6cG8Myik-5hvIZxBKXRw_13_0"/>
      <w:bookmarkStart w:id="776" w:name="Tc_rLq7StstvUG_cg0e7zrY9w_12_0"/>
      <w:bookmarkStart w:id="777" w:name="Tc_Bgp7MxKhN0WKn0w76rI9Bw_11_0"/>
      <w:bookmarkStart w:id="778" w:name="Tc_0cSxHucDXEil-uG7y3TPLA_10_0"/>
      <w:bookmarkStart w:id="779" w:name="Tc_3OHF8LG1g0KTATlba78psQ_9_0"/>
      <w:bookmarkStart w:id="780" w:name="Tc_klwI7q5MAky5W8pUaNBJBg_8_0"/>
      <w:bookmarkStart w:id="781" w:name="Tc_1pEXNmK6L02yujk73Hu6Qg_7_0"/>
      <w:bookmarkStart w:id="782" w:name="Tc_FcI5gRjI5UeM5YGvaswKIA_6_0"/>
      <w:bookmarkStart w:id="783" w:name="Tc_GCKlHlWL1kK0_nRWkinNJQ_5_0"/>
      <w:bookmarkStart w:id="784" w:name="Tc_YvLqdyGixUG9P7_ysMV0GQ_4_6"/>
      <w:bookmarkStart w:id="785" w:name="Tc_68vvQKk6_Eark6FbNNOQGA_4_4"/>
      <w:bookmarkStart w:id="786" w:name="Tc_X_Q56FT3ikKbA_Pbb6FFZw_3_6"/>
      <w:bookmarkStart w:id="787" w:name="Tc_Vw_3PZq5C0OGgI5V76j9ZQ_3_4"/>
      <w:bookmarkStart w:id="788" w:name="Tc_VyWXSHFdokyu_sUvmOXYCw_3_2"/>
      <w:bookmarkStart w:id="789" w:name="Tc_G6r4Rt8v60CL9TBjqX6PMw_2_4"/>
      <w:bookmarkStart w:id="790" w:name="Tc_ylVw2q2FCUGLqJYEyep_6g_1_4"/>
      <w:bookmarkStart w:id="791" w:name="_bab4e162_d218_4951_a926_808821840c37"/>
      <w:bookmarkStart w:id="792" w:name="Tc_jN9-V-Tf3UigUPhKmHoIGQ_37_2"/>
      <w:bookmarkStart w:id="793" w:name="Tc_8kEdrqqz7kCf-8pzuFcofA_37_0"/>
      <w:bookmarkStart w:id="794" w:name="Tc_ajRLks2kREeWlayoKL5SaQ_36_0"/>
      <w:bookmarkStart w:id="795" w:name="Tc_UKMhOn0WUUeWeXEPnIG4Zg_35_2"/>
      <w:bookmarkStart w:id="796" w:name="Tc_beVbBjoUekmL3MXyWR4p5Q_35_0"/>
      <w:bookmarkStart w:id="797" w:name="Tc_npqZNUeAu0C_M48AMKwSYw_34_0"/>
      <w:bookmarkStart w:id="798" w:name="Tc_V4Q_A_CviEuQpNksz1Jzfg_33_0"/>
      <w:bookmarkStart w:id="799" w:name="Tc_iqTSEnoHwEyciF0YQGsDKg_32_4"/>
      <w:bookmarkStart w:id="800" w:name="Tc_giVUQArR50OdRE4alJJV0g_32_2"/>
      <w:bookmarkStart w:id="801" w:name="Tc_xFmiciY1TE-HE2rikhoVTA_32_0"/>
      <w:bookmarkStart w:id="802" w:name="Tc_oyASlHG8sEOQzkHaZbna3g_31_0"/>
      <w:bookmarkStart w:id="803" w:name="Tc_HG7GTCo9EEiVmp7l33t92A_30_0"/>
      <w:bookmarkStart w:id="804" w:name="Tc_WBjETdRfSESZ5QEo-VO2GA_29_0"/>
      <w:bookmarkStart w:id="805" w:name="Tc_mw-kYevsUkqC0ooFEvzpFA_28_4"/>
      <w:bookmarkStart w:id="806" w:name="Tc_zrKEavCWAkyLmMj5ywvhxA_28_2"/>
      <w:bookmarkStart w:id="807" w:name="Tc_buYNAI1UEEC6ae9GF1m1pg_28_0"/>
      <w:bookmarkStart w:id="808" w:name="Tc_3vIVNTGk2EyWqAtBz0s_jg_27_6"/>
      <w:bookmarkStart w:id="809" w:name="Tc_PFp_SApE9EyGpYkTZAu7Vg_27_0"/>
      <w:bookmarkStart w:id="810" w:name="Tc_TlfRkJXOu0WMKHipiNCTyw_26_2"/>
      <w:bookmarkStart w:id="811" w:name="Tc_uZ9Zr-KadUWWq5--AqGxfQ_26_0"/>
      <w:bookmarkStart w:id="812" w:name="Tc_TRF0UGXUl0awbWM-VfShcQ_25_6"/>
      <w:bookmarkStart w:id="813" w:name="Tc_ecva5JhquEuLcVydIpxbuA_25_0"/>
      <w:bookmarkStart w:id="814" w:name="Tc_5S7NV6SpLUSOcn7dW6Wbxg_24_0"/>
      <w:bookmarkStart w:id="815" w:name="Tc_dm4wrGwKikKD042EB5z6mA_23_0"/>
      <w:bookmarkStart w:id="816" w:name="Tc_tDvxz7yH7UOHa0DVqS7tLg_22_0"/>
      <w:bookmarkStart w:id="817" w:name="Tc_WLBHZqPkZ0aTJcbjvGgDag_21_0"/>
      <w:bookmarkStart w:id="818" w:name="Tc_YWUVmGUvuEuNB--FQKE4uQ_20_6"/>
      <w:bookmarkStart w:id="819" w:name="Tc_18hNFLGR4E2JAzrnHUImyQ_20_0"/>
      <w:bookmarkStart w:id="820" w:name="Tc__MR0o0ILMESOVuFulFoUpw_19_6"/>
      <w:bookmarkStart w:id="821" w:name="Tc_GAvPitYfv0GSu-ngLe1SVQ_19_0"/>
      <w:bookmarkStart w:id="822" w:name="Tc_QjtWXP-qokypBq6uQCTa8Q_18_4"/>
      <w:bookmarkStart w:id="823" w:name="Tc_OpxRHKMLgUuVCJJWa2eK1Q_18_0"/>
      <w:bookmarkStart w:id="824" w:name="Tc_FMvRKsCRS0-2JGkZToJ-VQ_17_4"/>
      <w:bookmarkStart w:id="825" w:name="Tc_eo1gPXQGPUKHQxTq8WyBgA_17_0"/>
      <w:bookmarkStart w:id="826" w:name="Tc_E5Ps5RwftkeFRTRNYiCkMg_16_2"/>
      <w:bookmarkStart w:id="827" w:name="Tc_KA9O8LWpckKqFhwZVeLtFA_16_0"/>
      <w:bookmarkStart w:id="828" w:name="Tc_Mf3tdSzmFU6ftJ4-rH4fGg_15_2"/>
      <w:bookmarkStart w:id="829" w:name="Tc_7c0dDQlFekqV7eY8ir3WXA_15_0"/>
      <w:bookmarkStart w:id="830" w:name="Tc_SzBAzi6THUCgimcx8g2F7g_14_0"/>
      <w:bookmarkStart w:id="831" w:name="Tc_TN6cG8Myik-5hvIZxBKXRw_13_0"/>
      <w:bookmarkStart w:id="832" w:name="Tc_rLq7StstvUG_cg0e7zrY9w_12_0"/>
      <w:bookmarkStart w:id="833" w:name="Tc_Bgp7MxKhN0WKn0w76rI9Bw_11_0"/>
      <w:bookmarkStart w:id="834" w:name="Tc_0cSxHucDXEil-uG7y3TPLA_10_0"/>
      <w:bookmarkStart w:id="835" w:name="Tc_3OHF8LG1g0KTATlba78psQ_9_0"/>
      <w:bookmarkStart w:id="836" w:name="Tc_klwI7q5MAky5W8pUaNBJBg_8_0"/>
      <w:bookmarkStart w:id="837" w:name="Tc_1pEXNmK6L02yujk73Hu6Qg_7_0"/>
      <w:bookmarkStart w:id="838" w:name="Tc_FcI5gRjI5UeM5YGvaswKIA_6_0"/>
      <w:bookmarkStart w:id="839" w:name="Tc_GCKlHlWL1kK0_nRWkinNJQ_5_0"/>
      <w:bookmarkStart w:id="840" w:name="Tc_YvLqdyGixUG9P7_ysMV0GQ_4_6"/>
      <w:bookmarkStart w:id="841" w:name="Tc_68vvQKk6_Eark6FbNNOQGA_4_4"/>
      <w:bookmarkStart w:id="842" w:name="Tc_X_Q56FT3ikKbA_Pbb6FFZw_3_6"/>
      <w:bookmarkStart w:id="843" w:name="Tc_Vw_3PZq5C0OGgI5V76j9ZQ_3_4"/>
      <w:bookmarkStart w:id="844" w:name="Tc_VyWXSHFdokyu_sUvmOXYCw_3_2"/>
      <w:bookmarkStart w:id="845" w:name="Tc_G6r4Rt8v60CL9TBjqX6PMw_2_4"/>
      <w:bookmarkStart w:id="846" w:name="Tc_ylVw2q2FCUGLqJYEyep_6g_1_4"/>
      <w:bookmarkStart w:id="847" w:name="_bab4e162_d218_4951_a926_808821840c37"/>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tbl>
      <w:tblPr>
        <w:tblW w:w="9697" w:type="dxa"/>
        <w:jc w:val="left"/>
        <w:tblInd w:w="0" w:type="dxa"/>
        <w:tblLayout w:type="fixed"/>
        <w:tblCellMar>
          <w:top w:w="0" w:type="dxa"/>
          <w:left w:w="0" w:type="dxa"/>
          <w:bottom w:w="0" w:type="dxa"/>
          <w:right w:w="0" w:type="dxa"/>
        </w:tblCellMar>
      </w:tblPr>
      <w:tblGrid>
        <w:gridCol w:w="5866"/>
        <w:gridCol w:w="346"/>
        <w:gridCol w:w="766"/>
        <w:gridCol w:w="346"/>
        <w:gridCol w:w="931"/>
        <w:gridCol w:w="346"/>
        <w:gridCol w:w="109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24910" cy="175260"/>
                      <wp:effectExtent l="0" t="0" r="0" b="0"/>
                      <wp:wrapNone/>
                      <wp:docPr id="180" name="Frame179"/>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86410" cy="175260"/>
                      <wp:effectExtent l="0" t="0" r="0" b="0"/>
                      <wp:wrapNone/>
                      <wp:docPr id="182" name="Frame18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4" name="Frame1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5960" cy="175260"/>
                      <wp:effectExtent l="0" t="0" r="0" b="0"/>
                      <wp:wrapNone/>
                      <wp:docPr id="186" name="Frame18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operations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(659,448)</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(715,320)</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paid</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(357)</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(663,396)</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(715,677)</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purchase of property and equipment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(134,354)</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(235,442)</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purchase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(808)</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equipment and intangible assets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9,996</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time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(901,655)</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maturity of time deposits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468,569</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101,650</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purchase of financial assets at FVTPL</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(109,863)</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financial assets at FVTPL</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175,387</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purchase of financial assets measured at amortized cost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(61,448)</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financial assets measured at amortized cost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61,568</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loans to employees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collection of loans to employees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19,088</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218,699</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(960,615)</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capital element of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(26,810)</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(24,578)</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interest element of lease liabilities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(1,330)</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listing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(10,762)</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ordinary shares for exercise of option</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23(a)(ii)</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25,534</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20,995</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withholding tax arising from the settlement of vested RSUs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(50,846)</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repurchase of Class A ordinary shares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23(b)</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(684,809)</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bank loans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72,223</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224,636</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bank loans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(63,900)</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interests of bank loans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(3,711)</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put option liabilities</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(11,619)</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 from/(used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3,899</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(544,316)</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(440,798)</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(2,220,608)</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as of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4,268,300</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6,666,304</w:t>
            </w:r>
          </w:p>
        </w:tc>
      </w:tr>
      <w:tr>
        <w:trPr/>
        <w:tc>
          <w:tcPr>
            <w:tcW w:w="5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8,635</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(170,682)</w:t>
            </w:r>
          </w:p>
        </w:tc>
      </w:tr>
      <w:tr>
        <w:trPr/>
        <w:tc>
          <w:tcPr>
            <w:tcW w:w="58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as of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3,836,137</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4,275,014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848" w:name="Interim_Financial"/>
      <w:bookmarkStart w:id="849" w:name="a1Generalinformationandbasisofpresentati"/>
      <w:bookmarkEnd w:id="848"/>
      <w:bookmarkEnd w:id="849"/>
      <w:r>
        <w:rPr>
          <w:rFonts w:ascii="Times New Roman;Times;serif" w:hAnsi="Times New Roman;Times;serif"/>
          <w:b/>
          <w:i w:val="false"/>
          <w:caps w:val="false"/>
          <w:smallCaps w:val="false"/>
          <w:sz w:val="20"/>
        </w:rPr>
        <w:t>1</w:t>
      </w:r>
      <w:r>
        <w:rPr>
          <w:rFonts w:ascii="Times New Roman;Times;serif" w:hAnsi="Times New Roman;Times;serif"/>
          <w:b/>
          <w:sz w:val="20"/>
        </w:rPr>
        <w:t>GENERAL INFORMATION AND BASIS OF PREPARATION AND PRESENTATION</w:t>
      </w:r>
    </w:p>
    <w:tbl>
      <w:tblPr>
        <w:tblW w:w="2192" w:type="dxa"/>
        <w:jc w:val="left"/>
        <w:tblInd w:w="0" w:type="dxa"/>
        <w:tblLayout w:type="fixed"/>
        <w:tblCellMar>
          <w:top w:w="0" w:type="dxa"/>
          <w:left w:w="0" w:type="dxa"/>
          <w:bottom w:w="0" w:type="dxa"/>
          <w:right w:w="0" w:type="dxa"/>
        </w:tblCellMar>
      </w:tblPr>
      <w:tblGrid>
        <w:gridCol w:w="346"/>
        <w:gridCol w:w="184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(a)</w:t>
            </w:r>
          </w:p>
        </w:tc>
        <w:tc>
          <w:tcPr>
            <w:tcW w:w="18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General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WeRide Inc. (the “Company”), an exempted company with limited liability, was incorporated in the Cayman Islands under the Companies Act, Cap. 22 (Law 3 of 1961, as consolidated and revised) of the Cayman Islands on March 13, 2017. The Company’s American Depositary Shares (“ADSs”) have been listed on the Nasdaq Stock Market since October 25, 2024 and the Company completed its initial public offering (“IPO”) on October 28, 2024. Each ADS of the Company represents three 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6, 2025, the Company completed its global offering (“Global Offering”), including the Hong Kong Public Offering and the International Offering, on The Stock Exchange of Hong Kong Limited (“HKEX”).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investment holding company. The Company, through its wholly-owned subsidiaries (collectively referred to as the “Group”), is principally engaged in providing autonomous driving products and services.</w:t>
      </w:r>
    </w:p>
    <w:tbl>
      <w:tblPr>
        <w:tblW w:w="3632" w:type="dxa"/>
        <w:jc w:val="left"/>
        <w:tblInd w:w="0" w:type="dxa"/>
        <w:tblLayout w:type="fixed"/>
        <w:tblCellMar>
          <w:top w:w="0" w:type="dxa"/>
          <w:left w:w="0" w:type="dxa"/>
          <w:bottom w:w="0" w:type="dxa"/>
          <w:right w:w="0" w:type="dxa"/>
        </w:tblCellMar>
      </w:tblPr>
      <w:tblGrid>
        <w:gridCol w:w="346"/>
        <w:gridCol w:w="3286"/>
      </w:tblGrid>
      <w:tr>
        <w:trPr/>
        <w:tc>
          <w:tcPr>
            <w:tcW w:w="34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w:t>
            </w:r>
          </w:p>
        </w:tc>
        <w:tc>
          <w:tcPr>
            <w:tcW w:w="3286" w:type="dxa"/>
            <w:tcBorders/>
            <w:vAlign w:val="center"/>
          </w:tcPr>
          <w:p>
            <w:pPr>
              <w:pStyle w:val="TableContents"/>
              <w:bidi w:val="0"/>
              <w:spacing w:before="0" w:after="240"/>
              <w:jc w:val="left"/>
              <w:rPr>
                <w:rFonts w:ascii="Times New Roman;Times;serif" w:hAnsi="Times New Roman;Times;serif"/>
                <w:b/>
                <w:i/>
                <w:sz w:val="20"/>
              </w:rPr>
            </w:pPr>
            <w:r>
              <w:rPr>
                <w:rFonts w:ascii="Times New Roman;Times;serif" w:hAnsi="Times New Roman;Times;serif"/>
                <w:b/>
                <w:i/>
                <w:sz w:val="20"/>
              </w:rPr>
              <w:t>Basis of preparation and presentation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interim financial report has been prepared in accordance with the applicable disclosure provisions of the Rules Governing the Listing of Securities on HKEX, including compliance with International Accounting Standard (“IAS”) 34, Interim financial reporting, issued by the International Accounting Standards Board (“IASB”). It was authorized for issue on August 12,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interim financial report has been prepared in accordance with the same accounting policies adopted in the 2025 annual financial statements, except for the accounting policy changes that are expected to be reflected in the 2026 annual financial statements. Details of any changes in accounting policies are set out in Note 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an interim financial report in conformity with IAS 34 requires management to make judgements, estimates, and assumptions that affect the application of policies and reported amounts of assets and liabilities, income and expenses on a year-to-date basis. Actual results may differ from these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interim financial report contains condensed consolidated financial statements and selected explanatory notes. The notes include an explanation of events and transactions that are significant to an understanding of the changes in financial position and performance of the Group since the 2025 annual financial statements. The condensed consolidated interim financial statements and the accompanying notes do not include all of the information required for a full set of financial statements prepared in accordance with IFRS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interim financial report is unaudited but has been reviewed by KPMG in accordance with Hong Kong Standard on Review Engagements 2410, Review of interim financial information performed by the independent auditor of the entity, issued by the HKICPA.</w:t>
      </w:r>
    </w:p>
    <w:tbl>
      <w:tblPr>
        <w:tblW w:w="3917" w:type="dxa"/>
        <w:jc w:val="left"/>
        <w:tblInd w:w="0" w:type="dxa"/>
        <w:tblLayout w:type="fixed"/>
        <w:tblCellMar>
          <w:top w:w="0" w:type="dxa"/>
          <w:left w:w="0" w:type="dxa"/>
          <w:bottom w:w="0" w:type="dxa"/>
          <w:right w:w="0" w:type="dxa"/>
        </w:tblCellMar>
      </w:tblPr>
      <w:tblGrid>
        <w:gridCol w:w="226"/>
        <w:gridCol w:w="3691"/>
      </w:tblGrid>
      <w:tr>
        <w:trPr/>
        <w:tc>
          <w:tcPr>
            <w:tcW w:w="2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6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ACCOUNTING POLICIES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IASB has issued a number of amendments to IFRS Accounting Standards that are first effective for the current accounting period. Of these, only the followings are relevant to the Group’s financial statements and the Group has applied these amendments to these condensed consolidated financial statements for the current accounting period:</w:t>
      </w:r>
    </w:p>
    <w:tbl>
      <w:tblPr>
        <w:tblW w:w="9587" w:type="dxa"/>
        <w:jc w:val="left"/>
        <w:tblInd w:w="0" w:type="dxa"/>
        <w:tblLayout w:type="fixed"/>
        <w:tblCellMar>
          <w:top w:w="0" w:type="dxa"/>
          <w:left w:w="0" w:type="dxa"/>
          <w:bottom w:w="0" w:type="dxa"/>
          <w:right w:w="0" w:type="dxa"/>
        </w:tblCellMar>
      </w:tblPr>
      <w:tblGrid>
        <w:gridCol w:w="271"/>
        <w:gridCol w:w="9316"/>
      </w:tblGrid>
      <w:tr>
        <w:trPr/>
        <w:tc>
          <w:tcPr>
            <w:tcW w:w="271" w:type="dxa"/>
            <w:tcBorders/>
            <w:vAlign w:val="center"/>
          </w:tcPr>
          <w:p>
            <w:pPr>
              <w:pStyle w:val="TableContents"/>
              <w:bidi w:val="0"/>
              <w:spacing w:before="0" w:after="283"/>
              <w:jc w:val="left"/>
              <w:rPr/>
            </w:pPr>
            <w:r>
              <w:rPr/>
              <w:t>●</w:t>
            </w:r>
          </w:p>
        </w:tc>
        <w:tc>
          <w:tcPr>
            <w:tcW w:w="9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9 and IFRS 7: Amendments to the Classification and Measurement of Financial Instruments</w:t>
            </w:r>
          </w:p>
        </w:tc>
      </w:tr>
    </w:tbl>
    <w:tbl>
      <w:tblPr>
        <w:tblW w:w="5687" w:type="dxa"/>
        <w:jc w:val="left"/>
        <w:tblInd w:w="0" w:type="dxa"/>
        <w:tblLayout w:type="fixed"/>
        <w:tblCellMar>
          <w:top w:w="0" w:type="dxa"/>
          <w:left w:w="0" w:type="dxa"/>
          <w:bottom w:w="0" w:type="dxa"/>
          <w:right w:w="0" w:type="dxa"/>
        </w:tblCellMar>
      </w:tblPr>
      <w:tblGrid>
        <w:gridCol w:w="271"/>
        <w:gridCol w:w="5416"/>
      </w:tblGrid>
      <w:tr>
        <w:trPr/>
        <w:tc>
          <w:tcPr>
            <w:tcW w:w="271" w:type="dxa"/>
            <w:tcBorders/>
            <w:vAlign w:val="center"/>
          </w:tcPr>
          <w:p>
            <w:pPr>
              <w:pStyle w:val="TableContents"/>
              <w:bidi w:val="0"/>
              <w:spacing w:before="0" w:after="283"/>
              <w:jc w:val="left"/>
              <w:rPr/>
            </w:pPr>
            <w:r>
              <w:rPr/>
              <w:t>●</w:t>
            </w:r>
          </w:p>
        </w:tc>
        <w:tc>
          <w:tcPr>
            <w:tcW w:w="5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improvements to IFRS Accounting Standards-Volume 11</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 of these developments have had a material effect on how the Group’s results and financial position for the current accounting period have been prepared or presented. The Group has not applied any new standard or interpretation that is not yet effective for the current accounting period.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850" w:name="Tc_A7IXj3E79UmbvYukU82qmg_5_0"/>
      <w:bookmarkStart w:id="851" w:name="Tc_hk-RSZ9tb0acqjewnUZNaQ_4_0"/>
      <w:bookmarkStart w:id="852" w:name="Tc_9LWCgofsZ0ekIZK1-jDKrg_3_4"/>
      <w:bookmarkStart w:id="853" w:name="Tc_XJf1jBjnVUaIMUKfjlFTfg_3_2"/>
      <w:bookmarkStart w:id="854" w:name="Tc_cUZcZtW1nUi79MRyCF9IjQ_2_4"/>
      <w:bookmarkStart w:id="855" w:name="Tc_YlfF1PweU0ubPQY66H7vXw_2_2"/>
      <w:bookmarkStart w:id="856" w:name="Tc_o0F2M-YDb0Sa5Gm_xqTY9A_1_2"/>
      <w:bookmarkEnd w:id="850"/>
      <w:bookmarkEnd w:id="851"/>
      <w:bookmarkEnd w:id="852"/>
      <w:bookmarkEnd w:id="853"/>
      <w:bookmarkEnd w:id="854"/>
      <w:bookmarkEnd w:id="855"/>
      <w:bookmarkEnd w:id="856"/>
      <w:r>
        <w:rPr>
          <w:rFonts w:ascii="Times New Roman;Times;serif" w:hAnsi="Times New Roman;Times;serif"/>
          <w:b/>
          <w:i w:val="false"/>
          <w:caps w:val="false"/>
          <w:smallCaps w:val="false"/>
          <w:sz w:val="20"/>
        </w:rPr>
        <w:t>3</w:t>
      </w:r>
      <w:r>
        <w:rPr>
          <w:rFonts w:ascii="Times New Roman;Times;serif" w:hAnsi="Times New Roman;Times;serif"/>
          <w:b/>
          <w:sz w:val="20"/>
        </w:rPr>
        <w:t>SEGMENT REPORTING</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Geographic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Disaggregation of revenue from contracts with customers is as follows:</w:t>
      </w:r>
    </w:p>
    <w:p>
      <w:pPr>
        <w:pStyle w:val="TextBody"/>
        <w:bidi w:val="0"/>
        <w:spacing w:before="0" w:after="0"/>
        <w:ind w:left="0" w:right="0" w:hanging="0"/>
        <w:jc w:val="left"/>
        <w:rPr/>
      </w:pPr>
      <w:r>
        <w:rPr/>
        <w:t>​</w:t>
      </w:r>
    </w:p>
    <w:tbl>
      <w:tblPr>
        <w:tblW w:w="4592" w:type="dxa"/>
        <w:jc w:val="left"/>
        <w:tblInd w:w="0" w:type="dxa"/>
        <w:tblLayout w:type="fixed"/>
        <w:tblCellMar>
          <w:top w:w="0" w:type="dxa"/>
          <w:left w:w="0" w:type="dxa"/>
          <w:bottom w:w="0" w:type="dxa"/>
          <w:right w:w="0" w:type="dxa"/>
        </w:tblCellMar>
      </w:tblPr>
      <w:tblGrid>
        <w:gridCol w:w="1621"/>
        <w:gridCol w:w="346"/>
        <w:gridCol w:w="1030"/>
        <w:gridCol w:w="448"/>
        <w:gridCol w:w="1147"/>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029335" cy="175260"/>
                      <wp:effectExtent l="0" t="0" r="0" b="0"/>
                      <wp:wrapNone/>
                      <wp:docPr id="187" name="Frame18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4050" cy="175260"/>
                      <wp:effectExtent l="0" t="0" r="0" b="0"/>
                      <wp:wrapNone/>
                      <wp:docPr id="189" name="Frame18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84480" cy="175260"/>
                      <wp:effectExtent l="0" t="0" r="0" b="0"/>
                      <wp:wrapNone/>
                      <wp:docPr id="190" name="Frame18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28345" cy="175260"/>
                      <wp:effectExtent l="0" t="0" r="0" b="0"/>
                      <wp:wrapNone/>
                      <wp:docPr id="191" name="Frame190"/>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62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six months ended June 30,</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448" w:type="dxa"/>
            <w:tcBorders/>
            <w:vAlign w:val="center"/>
          </w:tcPr>
          <w:p>
            <w:pPr>
              <w:pStyle w:val="TableContents"/>
              <w:bidi w:val="0"/>
              <w:spacing w:before="0" w:after="1"/>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1030" w:type="dxa"/>
            <w:tcBorders/>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448" w:type="dxa"/>
            <w:tcBorders/>
            <w:vAlign w:val="center"/>
          </w:tcPr>
          <w:p>
            <w:pPr>
              <w:pStyle w:val="TableContents"/>
              <w:bidi w:val="0"/>
              <w:spacing w:before="0" w:after="1"/>
              <w:ind w:left="0" w:right="0" w:hanging="0"/>
              <w:jc w:val="left"/>
              <w:rPr/>
            </w:pPr>
            <w:r>
              <w:rPr/>
              <w:t>  ​ ​ ​</w:t>
            </w:r>
          </w:p>
        </w:tc>
        <w:tc>
          <w:tcPr>
            <w:tcW w:w="114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Chinese Mainland</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152,686</w:t>
            </w:r>
          </w:p>
        </w:tc>
        <w:tc>
          <w:tcPr>
            <w:tcW w:w="448" w:type="dxa"/>
            <w:tcBorders/>
            <w:shd w:fill="CCEEFF" w:val="clear"/>
            <w:vAlign w:val="center"/>
          </w:tcPr>
          <w:p>
            <w:pPr>
              <w:pStyle w:val="TableContents"/>
              <w:bidi w:val="0"/>
              <w:spacing w:before="0" w:after="1"/>
              <w:ind w:left="0" w:right="0" w:hanging="0"/>
              <w:jc w:val="left"/>
              <w:rPr/>
            </w:pPr>
            <w:r>
              <w:rPr/>
              <w:t> </w:t>
            </w:r>
          </w:p>
        </w:tc>
        <w:tc>
          <w:tcPr>
            <w:tcW w:w="114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226,558</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Overseas regions</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46,929</w:t>
            </w:r>
          </w:p>
        </w:tc>
        <w:tc>
          <w:tcPr>
            <w:tcW w:w="448" w:type="dxa"/>
            <w:tcBorders/>
            <w:vAlign w:val="center"/>
          </w:tcPr>
          <w:p>
            <w:pPr>
              <w:pStyle w:val="TableContents"/>
              <w:bidi w:val="0"/>
              <w:spacing w:before="0" w:after="1"/>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119,299</w:t>
            </w:r>
          </w:p>
        </w:tc>
      </w:tr>
      <w:tr>
        <w:trPr/>
        <w:tc>
          <w:tcPr>
            <w:tcW w:w="16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199,615</w:t>
            </w:r>
          </w:p>
        </w:tc>
        <w:tc>
          <w:tcPr>
            <w:tcW w:w="448" w:type="dxa"/>
            <w:tcBorders/>
            <w:shd w:fill="CCEEFF" w:val="clear"/>
            <w:vAlign w:val="center"/>
          </w:tcPr>
          <w:p>
            <w:pPr>
              <w:pStyle w:val="TableContents"/>
              <w:bidi w:val="0"/>
              <w:spacing w:before="0" w:after="1"/>
              <w:ind w:left="0" w:right="0" w:hanging="0"/>
              <w:jc w:val="left"/>
              <w:rPr/>
            </w:pPr>
            <w:r>
              <w:rPr/>
              <w:t> </w:t>
            </w:r>
          </w:p>
        </w:tc>
        <w:tc>
          <w:tcPr>
            <w:tcW w:w="114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345,857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57" w:name="Tc_pjkM9v9ISkm0j1nLMsWhQg_7_0"/>
      <w:bookmarkStart w:id="858" w:name="Tc_tDV-EEEf_EizDC018VXqCg_6_0"/>
      <w:bookmarkStart w:id="859" w:name="Tc_-x1BynJibESGNLDVxA07JQ_5_0"/>
      <w:bookmarkStart w:id="860" w:name="Tc_lE6StDJDDEOFtJm-DG7-SQ_4_4"/>
      <w:bookmarkStart w:id="861" w:name="Tc_0tZkTfS-20SlBH-y048Yxw_4_2"/>
      <w:bookmarkStart w:id="862" w:name="Tc_47NO1u51dEOMm3bx2XjDUw_3_4"/>
      <w:bookmarkStart w:id="863" w:name="Tc_v9kgX8XM1k-uuEcn-k_q9g_3_2"/>
      <w:bookmarkStart w:id="864" w:name="Tc_ce4OsC3-4EOOqx7ONdAowA_2_2"/>
      <w:bookmarkStart w:id="865" w:name="Tc_ZpHI_aaP60-wNviP-DixrQ_1_2"/>
      <w:bookmarkEnd w:id="857"/>
      <w:bookmarkEnd w:id="858"/>
      <w:bookmarkEnd w:id="859"/>
      <w:bookmarkEnd w:id="860"/>
      <w:bookmarkEnd w:id="861"/>
      <w:bookmarkEnd w:id="862"/>
      <w:bookmarkEnd w:id="863"/>
      <w:bookmarkEnd w:id="864"/>
      <w:bookmarkEnd w:id="865"/>
      <w:r>
        <w:rPr>
          <w:rFonts w:ascii="Times New Roman;Times;serif" w:hAnsi="Times New Roman;Times;serif"/>
          <w:b/>
          <w:i w:val="false"/>
          <w:caps w:val="false"/>
          <w:smallCaps w:val="false"/>
          <w:sz w:val="20"/>
        </w:rPr>
        <w:t>4</w:t>
      </w: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activities of the Group are: (i) L4 business, representing the sales of autonomous driving vehicles and the provision of autonomous driving-related operational and technical support services; and (ii) other businesses, including (a) L2++/L3 business, representing ADAS research and development (“R&amp;D”) services and (b) AI infrastructure business, mainly representing intelligent data services.</w:t>
      </w:r>
    </w:p>
    <w:tbl>
      <w:tblPr>
        <w:tblW w:w="2597" w:type="dxa"/>
        <w:jc w:val="left"/>
        <w:tblInd w:w="0" w:type="dxa"/>
        <w:tblLayout w:type="fixed"/>
        <w:tblCellMar>
          <w:top w:w="0" w:type="dxa"/>
          <w:left w:w="0" w:type="dxa"/>
          <w:bottom w:w="0" w:type="dxa"/>
          <w:right w:w="0" w:type="dxa"/>
        </w:tblCellMar>
      </w:tblPr>
      <w:tblGrid>
        <w:gridCol w:w="301"/>
        <w:gridCol w:w="2296"/>
      </w:tblGrid>
      <w:tr>
        <w:trPr/>
        <w:tc>
          <w:tcPr>
            <w:tcW w:w="301"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Disaggregation of revenue</w:t>
            </w:r>
          </w:p>
        </w:tc>
      </w:tr>
    </w:tbl>
    <w:p>
      <w:pPr>
        <w:pStyle w:val="TextBody"/>
        <w:bidi w:val="0"/>
        <w:spacing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Group generally sells autonomous driving vehicles to customers with provision of accompanying operational and technical support services. The following table sets forth the breakdown of disaggregation of revenue from contracts with customers by major business lines:</w:t>
      </w:r>
    </w:p>
    <w:p>
      <w:pPr>
        <w:pStyle w:val="TextBody"/>
        <w:bidi w:val="0"/>
        <w:spacing w:before="0" w:after="0"/>
        <w:ind w:left="0" w:right="0" w:hanging="0"/>
        <w:jc w:val="left"/>
        <w:rPr/>
      </w:pPr>
      <w:r>
        <w:rPr/>
        <w:t>​</w:t>
      </w:r>
    </w:p>
    <w:tbl>
      <w:tblPr>
        <w:tblW w:w="5780" w:type="dxa"/>
        <w:jc w:val="left"/>
        <w:tblInd w:w="0" w:type="dxa"/>
        <w:tblLayout w:type="fixed"/>
        <w:tblCellMar>
          <w:top w:w="0" w:type="dxa"/>
          <w:left w:w="0" w:type="dxa"/>
          <w:bottom w:w="0" w:type="dxa"/>
          <w:right w:w="0" w:type="dxa"/>
        </w:tblCellMar>
      </w:tblPr>
      <w:tblGrid>
        <w:gridCol w:w="3406"/>
        <w:gridCol w:w="346"/>
        <w:gridCol w:w="796"/>
        <w:gridCol w:w="346"/>
        <w:gridCol w:w="88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62810" cy="175260"/>
                      <wp:effectExtent l="0" t="0" r="0" b="0"/>
                      <wp:wrapNone/>
                      <wp:docPr id="192" name="Frame191"/>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5460" cy="175260"/>
                      <wp:effectExtent l="0" t="0" r="0" b="0"/>
                      <wp:wrapNone/>
                      <wp:docPr id="194"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62610" cy="175260"/>
                      <wp:effectExtent l="0" t="0" r="0" b="0"/>
                      <wp:wrapNone/>
                      <wp:docPr id="196" name="Frame19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2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Disaggregated by major business lines: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L4 business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123,932</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179,475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businesses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166,382</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199,615</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345,857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866" w:name="Tc_vAJrsmHmfU2ihkbjyW9zYA_5_4"/>
      <w:bookmarkStart w:id="867" w:name="Tc_pGzvhU1KU0SLPwa4CxoIeQ_5_3"/>
      <w:bookmarkStart w:id="868" w:name="Tc_Twt8IwhHhESaCcaCSejiZQ_5_0"/>
      <w:bookmarkStart w:id="869" w:name="Tc_5ZkiQvGMIUqXGDEm9jX9Wg_4_5"/>
      <w:bookmarkStart w:id="870" w:name="Tc_39cTNHl4aEeFjLTI_Bp6Hg_4_3"/>
      <w:bookmarkStart w:id="871" w:name="Tc_X3u1K5RE20qRN_venFY4FA_4_0"/>
      <w:bookmarkStart w:id="872" w:name="Tc_15SHHXLTNU-xasKymuSiIw_3_4"/>
      <w:bookmarkStart w:id="873" w:name="Tc_RLRVBB5Vm0qrfA__EAYQug_3_2"/>
      <w:bookmarkStart w:id="874" w:name="Tc_KTYdp7bDLkKEXoKC-yvRkw_2_2"/>
      <w:bookmarkStart w:id="875" w:name="Tc_mg_Q0g8fbECshsDhmmn6lA_1_2"/>
      <w:bookmarkStart w:id="876" w:name="_cc9403a3_5810_48f9_b8c6_345341784fc8"/>
      <w:bookmarkStart w:id="877" w:name="Tc_qeiwNQUBrEa3XBADUe96ug_13_0"/>
      <w:bookmarkStart w:id="878" w:name="Tc_1kqotG15aU-YLMutrt-91Q_12_0"/>
      <w:bookmarkStart w:id="879" w:name="Tc_J0QE4U2RgkS4htkjxIGAJQ_11_0"/>
      <w:bookmarkStart w:id="880" w:name="Tc_soL2yt9iDUa7BMc7xZJPTw_10_0"/>
      <w:bookmarkStart w:id="881" w:name="Tc_0QaI4na-lEmgoHIFfRCucw_9_0"/>
      <w:bookmarkStart w:id="882" w:name="Tc_KiiiSM89PUCZZ9DBUF5ILg_8_0"/>
      <w:bookmarkStart w:id="883" w:name="Tc_Nnj_tCyK002C8at7YoHvSQ_7_0"/>
      <w:bookmarkStart w:id="884" w:name="Tc_ld3ggMRyh0GKZjqJKIaRYw_6_0"/>
      <w:bookmarkStart w:id="885" w:name="Tc_Aab_6tfaa06yVtrG29jWaQ_5_0"/>
      <w:bookmarkStart w:id="886" w:name="Tc_STs-zmwe5UuLTPUJTT1n_g_4_4"/>
      <w:bookmarkStart w:id="887" w:name="Tc_OS9sUeeHIEmO-kDQvjbaTg_4_2"/>
      <w:bookmarkStart w:id="888" w:name="Tc_jz2WXnf6A0CP3ZxXLNAzZA_3_4"/>
      <w:bookmarkStart w:id="889" w:name="Tc_0z846uqAOEaolGCbJ5s8NQ_3_2"/>
      <w:bookmarkStart w:id="890" w:name="Tc_14F54wVUKkmY2zdbtiOp0Q_2_2"/>
      <w:bookmarkStart w:id="891" w:name="Tc_p4PuKWyxCkK16jPn33LhDA_1_2"/>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i w:val="false"/>
          <w:caps w:val="false"/>
          <w:smallCaps w:val="false"/>
          <w:color w:val="231F20"/>
          <w:sz w:val="20"/>
        </w:rPr>
        <w:t>4</w:t>
      </w:r>
      <w:r>
        <w:rPr>
          <w:rFonts w:ascii="Times New Roman;Times;serif" w:hAnsi="Times New Roman;Times;serif"/>
          <w:b/>
          <w:color w:val="231F20"/>
          <w:sz w:val="20"/>
        </w:rPr>
        <w:t>REVENUE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Disaggregation of revenue from contracts with customers by major products or service lines and timing of revenue recognition are as follows:</w:t>
      </w:r>
    </w:p>
    <w:p>
      <w:pPr>
        <w:pStyle w:val="TextBody"/>
        <w:bidi w:val="0"/>
        <w:spacing w:before="0" w:after="240"/>
        <w:ind w:left="0" w:right="0" w:hanging="0"/>
        <w:jc w:val="both"/>
        <w:rPr/>
      </w:pPr>
      <w:r>
        <w:rPr/>
        <w:t>​</w:t>
      </w:r>
    </w:p>
    <w:tbl>
      <w:tblPr>
        <w:tblW w:w="8330" w:type="dxa"/>
        <w:jc w:val="left"/>
        <w:tblInd w:w="0" w:type="dxa"/>
        <w:tblLayout w:type="fixed"/>
        <w:tblCellMar>
          <w:top w:w="0" w:type="dxa"/>
          <w:left w:w="0" w:type="dxa"/>
          <w:bottom w:w="0" w:type="dxa"/>
          <w:right w:w="0" w:type="dxa"/>
        </w:tblCellMar>
      </w:tblPr>
      <w:tblGrid>
        <w:gridCol w:w="5896"/>
        <w:gridCol w:w="346"/>
        <w:gridCol w:w="841"/>
        <w:gridCol w:w="346"/>
        <w:gridCol w:w="901"/>
      </w:tblGrid>
      <w:tr>
        <w:trPr/>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43960" cy="175260"/>
                      <wp:effectExtent l="0" t="0" r="0" b="0"/>
                      <wp:wrapNone/>
                      <wp:docPr id="197" name="Frame196"/>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34035" cy="175260"/>
                      <wp:effectExtent l="0" t="0" r="0" b="0"/>
                      <wp:wrapNone/>
                      <wp:docPr id="199" name="Frame1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72135" cy="175260"/>
                      <wp:effectExtent l="0" t="0" r="0" b="0"/>
                      <wp:wrapNone/>
                      <wp:docPr id="201" name="Frame2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8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RMB’000 </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RMB’000 </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Disaggregated by major products or service lines:</w:t>
            </w:r>
          </w:p>
        </w:tc>
        <w:tc>
          <w:tcPr>
            <w:tcW w:w="34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center"/>
              <w:rPr/>
            </w:pPr>
            <w:r>
              <w:rPr/>
              <w:t>​</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Autonomous driving-related operational and technical support services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54,651</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66,692</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technology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75,683</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166,382</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of services</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130,334</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233,074</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of autonomous driving vehicles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69,281</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112,783</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199,615</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345,857</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73,335</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162,517</w:t>
            </w:r>
          </w:p>
        </w:tc>
      </w:tr>
      <w:tr>
        <w:trPr/>
        <w:tc>
          <w:tcPr>
            <w:tcW w:w="5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126,280</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183,340</w:t>
            </w:r>
          </w:p>
        </w:tc>
      </w:tr>
      <w:tr>
        <w:trPr/>
        <w:tc>
          <w:tcPr>
            <w:tcW w:w="5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199,615</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345,857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major customers, which individually contributed more than 10% of total revenue of the Group for the six months ended June 30, 2025 and 2026 are as follows:</w:t>
      </w:r>
    </w:p>
    <w:p>
      <w:pPr>
        <w:pStyle w:val="TextBody"/>
        <w:bidi w:val="0"/>
        <w:spacing w:before="0" w:after="240"/>
        <w:ind w:left="0" w:right="0" w:hanging="0"/>
        <w:jc w:val="both"/>
        <w:rPr/>
      </w:pPr>
      <w:r>
        <w:rPr/>
        <w:t>​</w:t>
      </w:r>
    </w:p>
    <w:tbl>
      <w:tblPr>
        <w:tblW w:w="3737" w:type="dxa"/>
        <w:jc w:val="left"/>
        <w:tblInd w:w="0" w:type="dxa"/>
        <w:tblLayout w:type="fixed"/>
        <w:tblCellMar>
          <w:top w:w="0" w:type="dxa"/>
          <w:left w:w="0" w:type="dxa"/>
          <w:bottom w:w="0" w:type="dxa"/>
          <w:right w:w="0" w:type="dxa"/>
        </w:tblCellMar>
      </w:tblPr>
      <w:tblGrid>
        <w:gridCol w:w="1081"/>
        <w:gridCol w:w="346"/>
        <w:gridCol w:w="708"/>
        <w:gridCol w:w="548"/>
        <w:gridCol w:w="708"/>
        <w:gridCol w:w="3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86435" cy="175260"/>
                      <wp:effectExtent l="0" t="0" r="0" b="0"/>
                      <wp:wrapNone/>
                      <wp:docPr id="202" name="Frame20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49580" cy="175260"/>
                      <wp:effectExtent l="0" t="0" r="0" b="0"/>
                      <wp:wrapNone/>
                      <wp:docPr id="204" name="Frame20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47980" cy="175260"/>
                      <wp:effectExtent l="0" t="0" r="0" b="0"/>
                      <wp:wrapNone/>
                      <wp:docPr id="205" name="Frame204"/>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49580" cy="175260"/>
                      <wp:effectExtent l="0" t="0" r="0" b="0"/>
                      <wp:wrapNone/>
                      <wp:docPr id="206" name="Frame205"/>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6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548" w:type="dxa"/>
            <w:tcBorders/>
            <w:vAlign w:val="center"/>
          </w:tcPr>
          <w:p>
            <w:pPr>
              <w:pStyle w:val="TableContents"/>
              <w:bidi w:val="0"/>
              <w:spacing w:before="0" w:after="1"/>
              <w:ind w:left="0" w:right="0" w:hanging="0"/>
              <w:jc w:val="left"/>
              <w:rPr/>
            </w:pPr>
            <w:r>
              <w:rPr/>
              <w:t>  ​ ​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5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represents that the amount of aggregated revenue from such customer is individually less than 10% of the total revenue for the respective period.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92" w:name="Tc_M3o41C4rXUqGW8F1qQkH8Q_8_0"/>
      <w:bookmarkStart w:id="893" w:name="Tc_mioojIFJtkWaysBqvTXGog_7_0"/>
      <w:bookmarkStart w:id="894" w:name="Tc_M7A13yoRAE236FS0FZEHTg_6_0"/>
      <w:bookmarkStart w:id="895" w:name="Tc_CalxxmScak6jOFD4xXI1jg_5_0"/>
      <w:bookmarkStart w:id="896" w:name="Tc_Qhp56HtWe0SAPd9MkRVncQ_4_4"/>
      <w:bookmarkStart w:id="897" w:name="Tc_OpHIVZ5dCU69APl_okkrEQ_4_2"/>
      <w:bookmarkStart w:id="898" w:name="Tc_RI0mDzy1JkOEX8R-gO5hfQ_3_4"/>
      <w:bookmarkStart w:id="899" w:name="Tc_yJNuhSOCA0WnVcQ9HApEfQ_3_2"/>
      <w:bookmarkStart w:id="900" w:name="Tc_nezwPyYfQkGqHTsM-4x9qQ_2_2"/>
      <w:bookmarkStart w:id="901" w:name="Tc_maFzAKzV10qijvEk6mYmNw_1_2"/>
      <w:bookmarkEnd w:id="892"/>
      <w:bookmarkEnd w:id="893"/>
      <w:bookmarkEnd w:id="894"/>
      <w:bookmarkEnd w:id="895"/>
      <w:bookmarkEnd w:id="896"/>
      <w:bookmarkEnd w:id="897"/>
      <w:bookmarkEnd w:id="898"/>
      <w:bookmarkEnd w:id="899"/>
      <w:bookmarkEnd w:id="900"/>
      <w:bookmarkEnd w:id="901"/>
      <w:r>
        <w:rPr>
          <w:rFonts w:ascii="Times New Roman;Times;serif" w:hAnsi="Times New Roman;Times;serif"/>
          <w:b/>
          <w:i w:val="false"/>
          <w:caps w:val="false"/>
          <w:smallCaps w:val="false"/>
          <w:sz w:val="20"/>
        </w:rPr>
        <w:t>5</w:t>
      </w:r>
      <w:r>
        <w:rPr>
          <w:rFonts w:ascii="Times New Roman;Times;serif" w:hAnsi="Times New Roman;Times;serif"/>
          <w:b/>
          <w:sz w:val="20"/>
        </w:rPr>
        <w:t>OTHER NET INCOME</w:t>
      </w:r>
    </w:p>
    <w:p>
      <w:pPr>
        <w:pStyle w:val="TextBody"/>
        <w:bidi w:val="0"/>
        <w:spacing w:before="0" w:after="240"/>
        <w:ind w:left="0" w:right="0" w:hanging="0"/>
        <w:jc w:val="both"/>
        <w:rPr/>
      </w:pPr>
      <w:r>
        <w:rPr/>
        <w:t>​</w:t>
      </w:r>
    </w:p>
    <w:tbl>
      <w:tblPr>
        <w:tblW w:w="5900" w:type="dxa"/>
        <w:jc w:val="left"/>
        <w:tblInd w:w="0" w:type="dxa"/>
        <w:tblLayout w:type="fixed"/>
        <w:tblCellMar>
          <w:top w:w="0" w:type="dxa"/>
          <w:left w:w="0" w:type="dxa"/>
          <w:bottom w:w="0" w:type="dxa"/>
          <w:right w:w="0" w:type="dxa"/>
        </w:tblCellMar>
      </w:tblPr>
      <w:tblGrid>
        <w:gridCol w:w="3556"/>
        <w:gridCol w:w="346"/>
        <w:gridCol w:w="796"/>
        <w:gridCol w:w="346"/>
        <w:gridCol w:w="85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58060" cy="175260"/>
                      <wp:effectExtent l="0" t="0" r="0" b="0"/>
                      <wp:wrapNone/>
                      <wp:docPr id="208" name="Frame207"/>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10" name="Frame2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43560" cy="175260"/>
                      <wp:effectExtent l="0" t="0" r="0" b="0"/>
                      <wp:wrapNone/>
                      <wp:docPr id="212" name="Frame21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center"/>
              <w:rPr/>
            </w:pPr>
            <w:r>
              <w:rPr/>
              <w:t>  ​ ​ ​</w:t>
            </w:r>
          </w:p>
        </w:tc>
        <w:tc>
          <w:tcPr>
            <w:tcW w:w="8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9,811</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on disposal of non-current assets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Individual income tax handling fee refund</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6,429</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6,495</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shd w:fill="CCEEFF" w:val="clear"/>
            <w:vAlign w:val="center"/>
          </w:tcPr>
          <w:p>
            <w:pPr>
              <w:pStyle w:val="TableContents"/>
              <w:bidi w:val="0"/>
              <w:spacing w:before="0" w:after="1"/>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22,612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902" w:name="Tc_v26bUPR21kCreBQqITJNCg_24_0"/>
      <w:bookmarkStart w:id="903" w:name="Tc_JMs1x9QEX0OiXTND359ZQA_23_0"/>
      <w:bookmarkStart w:id="904" w:name="Tc_tCT7l5lnAEu39fhAjVtceA_22_0"/>
      <w:bookmarkStart w:id="905" w:name="Tc_Smj1im5oHEmhdZSsgcf9kg_21_0"/>
      <w:bookmarkStart w:id="906" w:name="Tc_nSP4DHegdkyUl7VNe0emUw_19_0"/>
      <w:bookmarkStart w:id="907" w:name="Tc_ElcNIhkXbEu9745Rb6wGkQ_18_0"/>
      <w:bookmarkStart w:id="908" w:name="Tc_pV2ZediQYEaq7Z-0UqiR5g_17_0"/>
      <w:bookmarkStart w:id="909" w:name="Tc_91CG_0XN3kyIKAyT2B31Qg_16_0"/>
      <w:bookmarkStart w:id="910" w:name="Tc_X1GMWD8f10GDazVjz0Kcrw_15_0"/>
      <w:bookmarkStart w:id="911" w:name="Tc_cfyWfX-t4Uqrf_WYC27rhQ_14_0"/>
      <w:bookmarkStart w:id="912" w:name="Tc_lOu9gG8ZqESiY-rLRsvB0g_13_0"/>
      <w:bookmarkStart w:id="913" w:name="Tc_sbxLxX7aaU2f4r1zQTP4pQ_12_4"/>
      <w:bookmarkStart w:id="914" w:name="Tc_b_1ClvLmcUuK7mZriTWQtQ_12_0"/>
      <w:bookmarkStart w:id="915" w:name="Tc_MLHOuoxpREWfDReHxk_fzw_11_0"/>
      <w:bookmarkStart w:id="916" w:name="Tc_mQNopjiSHkKqSbY1A_mf8Q_10_0"/>
      <w:bookmarkStart w:id="917" w:name="Tc_DnUXJIBFukirsvQzMBovNg_9_0"/>
      <w:bookmarkStart w:id="918" w:name="Tc_o8ht0NgmW0ONEZ7fD_wWxg_8_0"/>
      <w:bookmarkStart w:id="919" w:name="Tc_TvshXbgdOU2e2WiUrveCtA_7_0"/>
      <w:bookmarkStart w:id="920" w:name="Tc_GBVLzoq47ECJ2bw9hGk7Mw_6_0"/>
      <w:bookmarkStart w:id="921" w:name="Tc_JDB5EiUHRkq3NYIuzPltQQ_5_0"/>
      <w:bookmarkStart w:id="922" w:name="Tc_O0S4cVTtuEegHESSaPMQpg_4_4"/>
      <w:bookmarkStart w:id="923" w:name="Tc_nYcdfyc8uUG4LvGXNwUdKw_4_2"/>
      <w:bookmarkStart w:id="924" w:name="Tc_FcpmznrgCkeB_m4qPwLFRg_3_4"/>
      <w:bookmarkStart w:id="925" w:name="Tc_yj1liAhaWEW4PXJO6NAjFQ_3_2"/>
      <w:bookmarkStart w:id="926" w:name="Tc_NKw6-S5X8Emb8jTNvjIAjw_2_2"/>
      <w:bookmarkStart w:id="927" w:name="Tc_0QHGqFrqZ0-51RH5hNeodQ_1_2"/>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b/>
          <w:i w:val="false"/>
          <w:caps w:val="false"/>
          <w:smallCaps w:val="false"/>
          <w:color w:val="231F20"/>
          <w:sz w:val="20"/>
        </w:rPr>
        <w:t>6</w:t>
      </w:r>
      <w:r>
        <w:rPr>
          <w:rFonts w:ascii="Times New Roman;Times;serif" w:hAnsi="Times New Roman;Times;serif"/>
          <w:b/>
          <w:color w:val="231F20"/>
          <w:sz w:val="20"/>
        </w:rPr>
        <w:t>EXPENSES BY NATURE</w:t>
      </w:r>
    </w:p>
    <w:p>
      <w:pPr>
        <w:pStyle w:val="TextBody"/>
        <w:bidi w:val="0"/>
        <w:spacing w:before="0" w:after="0"/>
        <w:ind w:left="0" w:right="0" w:hanging="0"/>
        <w:jc w:val="left"/>
        <w:rPr>
          <w:color w:val="231F20"/>
        </w:rPr>
      </w:pPr>
      <w:r>
        <w:rPr>
          <w:color w:val="231F20"/>
        </w:rPr>
        <w:t>​</w:t>
      </w:r>
    </w:p>
    <w:tbl>
      <w:tblPr>
        <w:tblW w:w="10205" w:type="dxa"/>
        <w:jc w:val="left"/>
        <w:tblInd w:w="0" w:type="dxa"/>
        <w:tblLayout w:type="fixed"/>
        <w:tblCellMar>
          <w:top w:w="0" w:type="dxa"/>
          <w:left w:w="0" w:type="dxa"/>
          <w:bottom w:w="0" w:type="dxa"/>
          <w:right w:w="0" w:type="dxa"/>
        </w:tblCellMar>
      </w:tblPr>
      <w:tblGrid>
        <w:gridCol w:w="7606"/>
        <w:gridCol w:w="346"/>
        <w:gridCol w:w="931"/>
        <w:gridCol w:w="346"/>
        <w:gridCol w:w="976"/>
      </w:tblGrid>
      <w:tr>
        <w:trPr/>
        <w:tc>
          <w:tcPr>
            <w:tcW w:w="7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829810" cy="175260"/>
                      <wp:effectExtent l="0" t="0" r="0" b="0"/>
                      <wp:wrapNone/>
                      <wp:docPr id="213" name="Frame212"/>
                      <a:graphic xmlns:a="http://schemas.openxmlformats.org/drawingml/2006/main">
                        <a:graphicData uri="http://schemas.microsoft.com/office/word/2010/wordprocessingShape">
                          <wps:wsp>
                            <wps:cNvSpPr txBox="1"/>
                            <wps:spPr>
                              <a:xfrm>
                                <a:off x="0" y="0"/>
                                <a:ext cx="482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91185" cy="175260"/>
                      <wp:effectExtent l="0" t="0" r="0" b="0"/>
                      <wp:wrapNone/>
                      <wp:docPr id="215"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9760" cy="175260"/>
                      <wp:effectExtent l="0" t="0" r="0" b="0"/>
                      <wp:wrapNone/>
                      <wp:docPr id="217" name="Frame21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5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7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7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employee benefits (Note 6(i))</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693,153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699,775</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inventories (Note 13(b))</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67,361</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(Note 6(ii))</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117,813</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 fee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73,656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41,079</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fee from a related party (Note 27(b))</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41,920</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Outsourcing service fee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105,314</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 and property management fee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28,795</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Listing expense relating to the Global Offering</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118,938</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revenue, research and development expenses, administrative expenses and selling expenses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1,089,913</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1,220,995</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Payroll and employee benefits: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allowances, bonus and benefits in kind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445,452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541,977</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to defined contribution retirement plan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38,588</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 (Note 24)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219,522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119,210</w:t>
            </w:r>
          </w:p>
        </w:tc>
      </w:tr>
      <w:tr>
        <w:trPr/>
        <w:tc>
          <w:tcPr>
            <w:tcW w:w="7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693,153</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699,775</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 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45,372</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88,708</w:t>
            </w:r>
          </w:p>
        </w:tc>
      </w:tr>
      <w:tr>
        <w:trPr/>
        <w:tc>
          <w:tcPr>
            <w:tcW w:w="7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26,759</w:t>
            </w:r>
          </w:p>
        </w:tc>
      </w:tr>
      <w:tr>
        <w:trPr/>
        <w:tc>
          <w:tcPr>
            <w:tcW w:w="7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2,346</w:t>
            </w:r>
          </w:p>
        </w:tc>
      </w:tr>
      <w:tr>
        <w:trPr/>
        <w:tc>
          <w:tcPr>
            <w:tcW w:w="76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117,813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928" w:name="Tc_yi4lh5M_ikqQn_C2Viz8Wg_7_4"/>
      <w:bookmarkStart w:id="929" w:name="Tc_S1zOIGbblkSQOjz08SSAgg_7_0"/>
      <w:bookmarkStart w:id="930" w:name="Tc_jEtnrmw-q0Gpyxov3lI1ug_6_0"/>
      <w:bookmarkStart w:id="931" w:name="Tc_eKFcr_ukvESa32SM1i5I0A_5_0"/>
      <w:bookmarkStart w:id="932" w:name="Tc_wADR6blaZUCazgpVmhQBpQ_4_4"/>
      <w:bookmarkStart w:id="933" w:name="Tc_jlckBGs5oU-qzqQlpfQbjQ_4_2"/>
      <w:bookmarkStart w:id="934" w:name="Tc_tv4b6UJdp06jMr1ohbem1g_3_4"/>
      <w:bookmarkStart w:id="935" w:name="Tc_ndJM5069xUCUMQKVh2JDeg_3_2"/>
      <w:bookmarkStart w:id="936" w:name="Tc__XE8lawZykGr1H3BKHGqLg_2_2"/>
      <w:bookmarkStart w:id="937" w:name="Tc_yPC_55htKkuyyZaHtxgzwg_1_2"/>
      <w:bookmarkEnd w:id="928"/>
      <w:bookmarkEnd w:id="929"/>
      <w:bookmarkEnd w:id="930"/>
      <w:bookmarkEnd w:id="931"/>
      <w:bookmarkEnd w:id="932"/>
      <w:bookmarkEnd w:id="933"/>
      <w:bookmarkEnd w:id="934"/>
      <w:bookmarkEnd w:id="935"/>
      <w:bookmarkEnd w:id="936"/>
      <w:bookmarkEnd w:id="937"/>
      <w:r>
        <w:rPr>
          <w:rFonts w:ascii="TimesNRMTPro-Bold" w:hAnsi="TimesNRMTPro-Bold"/>
          <w:b/>
          <w:i w:val="false"/>
          <w:caps w:val="false"/>
          <w:smallCaps w:val="false"/>
          <w:sz w:val="20"/>
        </w:rPr>
        <w:t>7</w:t>
      </w:r>
      <w:r>
        <w:rPr>
          <w:rFonts w:ascii="TimesNRMTPro-Bold" w:hAnsi="TimesNRMTPro-Bold"/>
          <w:b/>
          <w:sz w:val="20"/>
        </w:rPr>
        <w:t>FINANCE COSTS</w:t>
      </w:r>
    </w:p>
    <w:p>
      <w:pPr>
        <w:pStyle w:val="TextBody"/>
        <w:bidi w:val="0"/>
        <w:spacing w:before="0" w:after="0"/>
        <w:ind w:left="0" w:right="0" w:hanging="0"/>
        <w:jc w:val="left"/>
        <w:rPr/>
      </w:pPr>
      <w:r>
        <w:rPr/>
        <w:t>​</w:t>
      </w:r>
    </w:p>
    <w:tbl>
      <w:tblPr>
        <w:tblW w:w="7040" w:type="dxa"/>
        <w:jc w:val="left"/>
        <w:tblInd w:w="0" w:type="dxa"/>
        <w:tblLayout w:type="fixed"/>
        <w:tblCellMar>
          <w:top w:w="0" w:type="dxa"/>
          <w:left w:w="0" w:type="dxa"/>
          <w:bottom w:w="0" w:type="dxa"/>
          <w:right w:w="0" w:type="dxa"/>
        </w:tblCellMar>
      </w:tblPr>
      <w:tblGrid>
        <w:gridCol w:w="4651"/>
        <w:gridCol w:w="346"/>
        <w:gridCol w:w="841"/>
        <w:gridCol w:w="346"/>
        <w:gridCol w:w="85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953385" cy="175260"/>
                      <wp:effectExtent l="0" t="0" r="0" b="0"/>
                      <wp:wrapNone/>
                      <wp:docPr id="218" name="Frame217"/>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4035" cy="175260"/>
                      <wp:effectExtent l="0" t="0" r="0" b="0"/>
                      <wp:wrapNone/>
                      <wp:docPr id="220" name="Frame2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43560" cy="175260"/>
                      <wp:effectExtent l="0" t="0" r="0" b="0"/>
                      <wp:wrapNone/>
                      <wp:docPr id="222" name="Frame22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4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RMB’000 </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bank loans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3,759</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carrying amount of put option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3,292</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INCOME TAX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provided income tax expense of RMB1.9 million for the six months ended June 30, 2025, and income tax benefit of RMB0.1 million for the six months ended June 30, 2026, of which the deferred income tax benefits amounting to RMB0.5 million was recognized as a result of reversal of deferred tax liabilities, and current income tax expenses amounting to RMB0.4 million, respectively. Current income tax expenses represented withholding tax levied at 10% on interest income earned by the Company and its subsidiary in Hong Kong from banks located in Chinese Mainland, and withholding tax levied at 30% on interest income earned by the Company from banks located in the U.S., which are non-PRC or non-U.S. residents according to the relevant rules and regulations of the Chinese Mainland or the U.S.</w:t>
      </w:r>
    </w:p>
    <w:p>
      <w:pPr>
        <w:pStyle w:val="TextBody"/>
        <w:bidi w:val="0"/>
        <w:spacing w:before="0" w:after="200"/>
        <w:ind w:left="0" w:right="0" w:hanging="0"/>
        <w:jc w:val="left"/>
        <w:rPr>
          <w:rFonts w:ascii="Times New Roman;Times;serif" w:hAnsi="Times New Roman;Times;serif"/>
          <w:b/>
          <w:sz w:val="20"/>
        </w:rPr>
      </w:pPr>
      <w:bookmarkStart w:id="938" w:name="Tc_IZrp_cAmJEG7pjn0kCryZQ_6_0"/>
      <w:bookmarkStart w:id="939" w:name="Tc_vVO6P3yFG0KAlMsOWC9spQ_5_0"/>
      <w:bookmarkStart w:id="940" w:name="Tc_g1HwPv6bH0GIEi1s0Yv6hg_4_0"/>
      <w:bookmarkStart w:id="941" w:name="Tc_j9MiL5uzeEugO2u6vR7nag_3_4"/>
      <w:bookmarkStart w:id="942" w:name="Tc_SzAgsfbVkkmPdbvYN2P3Zw_3_2"/>
      <w:bookmarkStart w:id="943" w:name="Tc_2ge5x5KqZEmwevIxZqzNJw_2_2"/>
      <w:bookmarkStart w:id="944" w:name="Tc_r4wHEG05-kSIqgO6c1c60g_1_2"/>
      <w:bookmarkStart w:id="945" w:name="_44b75cf0_0ca8_4e7d_bafe_ab7bf5e9bb7a"/>
      <w:bookmarkStart w:id="946" w:name="Tc_sYyZUZOtz0mh9c0aLiCWmg_12_0"/>
      <w:bookmarkStart w:id="947" w:name="Tc_i1icURMIzUm4dAT1dCqGsw_11_2"/>
      <w:bookmarkStart w:id="948" w:name="Tc_crjiUNRRYkaAsl3Syc15jw_11_0"/>
      <w:bookmarkStart w:id="949" w:name="Tc__wIJGmQrGUyGwFqWEkTuPQ_10_0"/>
      <w:bookmarkStart w:id="950" w:name="Tc_CHynRwxX5EOYTXWE40Pq9Q_9_4"/>
      <w:bookmarkStart w:id="951" w:name="Tc_CKetIA6hiU2XNPENl81J0w_9_2"/>
      <w:bookmarkStart w:id="952" w:name="Tc_I3q16ERi3UWIyQMi3Qy2PA_9_0"/>
      <w:bookmarkStart w:id="953" w:name="Tc_DSliQCBlvU6gx7VgtgYojQ_8_0"/>
      <w:bookmarkStart w:id="954" w:name="Tc_u7s8YuHyP0iUcmc0LUyxjw_7_0"/>
      <w:bookmarkStart w:id="955" w:name="Tc_JCooXcpu9E-Ek-3yLBg9Tw_6_4"/>
      <w:bookmarkStart w:id="956" w:name="Tc_D_DpuqqTgEK4PFwJQh03_Q_6_2"/>
      <w:bookmarkStart w:id="957" w:name="Tc_-EAreUKROE6Ykx84Y_iehg_5_4"/>
      <w:bookmarkStart w:id="958" w:name="Tc_X9rtJHbbWECUh3PHDPrBsw_5_2"/>
      <w:bookmarkStart w:id="959" w:name="Tc_xsD4Mvmg5kOE_9YIacyk8g_4_4"/>
      <w:bookmarkStart w:id="960" w:name="Tc_Su_xqGMfQkCJJ4i8AavzFw_4_2"/>
      <w:bookmarkStart w:id="961" w:name="Tc_zABhJdlS20ezhvcS97OVIw_3_4"/>
      <w:bookmarkStart w:id="962" w:name="Tc_II45qiyar0yPGEjMBVRBgQ_3_2"/>
      <w:bookmarkStart w:id="963" w:name="Tc_65VmAI-kfEiin79crFU9SA_2_2"/>
      <w:bookmarkStart w:id="964" w:name="Tc_g6ToZBZfOUGiN7Ziqa5p3Q_1_2"/>
      <w:bookmarkStart w:id="965" w:name="_f141c105_264c_4c79_a98e_2c3c404189b0"/>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b/>
          <w:i w:val="false"/>
          <w:caps w:val="false"/>
          <w:smallCaps w:val="false"/>
          <w:sz w:val="20"/>
        </w:rPr>
        <w:t>9</w:t>
      </w:r>
      <w:r>
        <w:rPr>
          <w:rFonts w:ascii="Times New Roman;Times;serif" w:hAnsi="Times New Roman;Times;serif"/>
          <w:b/>
          <w:sz w:val="20"/>
        </w:rPr>
        <w:t>LOSS PER CLASS A AND CLASS B ORDINARY SHARE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(a)Basic loss per Class A and Class B ordinary share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calculation of basic loss per Class A and Class B ordinary share is based on the loss attributable to ordinary equity shareholders of the Company divided by weighted-average number of Class A and Class B ordinary shares outstanding.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Holders of the Class A and Class B ordinary shares have the same rights except for conversion and voting rights. Each Class B ordinary share is convertible into one Class A ordinary share at any time by the holder thereof, while Class A ordinary shares are not convertible into Class B ordinary shares under any circumstances. In respect of matters requiring the votes of shareholders, before March 13, 2026, the holder of Class B ordinary shares was entitled to 40 votes per share, while the holders of Class A ordinary shares were entitled to one vote per share. On March 13, 2026, the Extraordinary General Meeting approved the amendment of voting rights of Class B ordinary shares to 10 votes per share.</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w:t>
            </w:r>
          </w:p>
        </w:tc>
        <w:tc>
          <w:tcPr>
            <w:tcW w:w="9912"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Weighted average number of Class A and Class B ordinary shares for the purpose of basic loss per Class A and Class B ordinary share</w:t>
            </w:r>
          </w:p>
        </w:tc>
      </w:tr>
    </w:tbl>
    <w:p>
      <w:pPr>
        <w:pStyle w:val="TextBody"/>
        <w:bidi w:val="0"/>
        <w:spacing w:before="0" w:after="240"/>
        <w:ind w:left="0" w:right="0" w:hanging="0"/>
        <w:jc w:val="both"/>
        <w:rPr/>
      </w:pPr>
      <w:r>
        <w:rPr/>
        <w:t>​</w:t>
      </w:r>
    </w:p>
    <w:tbl>
      <w:tblPr>
        <w:tblW w:w="9485" w:type="dxa"/>
        <w:jc w:val="left"/>
        <w:tblInd w:w="0" w:type="dxa"/>
        <w:tblLayout w:type="fixed"/>
        <w:tblCellMar>
          <w:top w:w="0" w:type="dxa"/>
          <w:left w:w="0" w:type="dxa"/>
          <w:bottom w:w="0" w:type="dxa"/>
          <w:right w:w="0" w:type="dxa"/>
        </w:tblCellMar>
      </w:tblPr>
      <w:tblGrid>
        <w:gridCol w:w="6886"/>
        <w:gridCol w:w="346"/>
        <w:gridCol w:w="871"/>
        <w:gridCol w:w="346"/>
        <w:gridCol w:w="1036"/>
      </w:tblGrid>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53085" cy="175260"/>
                      <wp:effectExtent l="0" t="0" r="0" b="0"/>
                      <wp:wrapNone/>
                      <wp:docPr id="224" name="Frame2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57860" cy="175260"/>
                      <wp:effectExtent l="0" t="0" r="0" b="0"/>
                      <wp:wrapNone/>
                      <wp:docPr id="226" name="Frame2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5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Number of</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shares</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‘000)</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‘000)</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 Class A and Class B ordinary shares as of January 1</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826,214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999,268</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ordinary shares issued</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2,239</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Class A ordinary shares surrendered</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ordinary shares deemed to be in issue</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14,118</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repurchase of Class A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(14,544)</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Class A and Class B ordinary shares for the period</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906,856</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1,001,081</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 Represents shares less than 1,000.</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p>
      <w:pPr>
        <w:pStyle w:val="TextBody"/>
        <w:bidi w:val="0"/>
        <w:spacing w:before="0" w:after="240"/>
        <w:ind w:left="0" w:right="0" w:hanging="0"/>
        <w:jc w:val="both"/>
        <w:rPr/>
      </w:pPr>
      <w:r>
        <w:rPr/>
        <w:t>​</w:t>
      </w:r>
    </w:p>
    <w:tbl>
      <w:tblPr>
        <w:tblW w:w="8357" w:type="dxa"/>
        <w:jc w:val="left"/>
        <w:tblInd w:w="0" w:type="dxa"/>
        <w:tblLayout w:type="fixed"/>
        <w:tblCellMar>
          <w:top w:w="0" w:type="dxa"/>
          <w:left w:w="0" w:type="dxa"/>
          <w:bottom w:w="0" w:type="dxa"/>
          <w:right w:w="0" w:type="dxa"/>
        </w:tblCellMar>
      </w:tblPr>
      <w:tblGrid>
        <w:gridCol w:w="286"/>
        <w:gridCol w:w="8071"/>
      </w:tblGrid>
      <w:tr>
        <w:trPr/>
        <w:tc>
          <w:tcPr>
            <w:tcW w:w="286"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(i)</w:t>
            </w:r>
          </w:p>
        </w:tc>
        <w:tc>
          <w:tcPr>
            <w:tcW w:w="8071" w:type="dxa"/>
            <w:tcBorders/>
            <w:vAlign w:val="center"/>
          </w:tcPr>
          <w:p>
            <w:pPr>
              <w:pStyle w:val="TableContents"/>
              <w:bidi w:val="0"/>
              <w:spacing w:before="0" w:after="240"/>
              <w:jc w:val="both"/>
              <w:rPr>
                <w:rFonts w:ascii="Times New Roman;Times;serif" w:hAnsi="Times New Roman;Times;serif"/>
                <w:sz w:val="16"/>
              </w:rPr>
            </w:pPr>
            <w:r>
              <w:rPr>
                <w:rFonts w:ascii="Times New Roman;Times;serif" w:hAnsi="Times New Roman;Times;serif"/>
                <w:sz w:val="16"/>
              </w:rPr>
              <w:t>The ordinary shares deemed to be in issue represent the vested RSUs granted to qualified directors and employees.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231F20"/>
          <w:sz w:val="20"/>
        </w:rPr>
        <w:t>(ii)Calculations of basic loss per Class</w:t>
      </w:r>
      <w:r>
        <w:rPr>
          <w:rFonts w:ascii="Times New Roman;Times;serif" w:hAnsi="Times New Roman;Times;serif"/>
          <w:color w:val="231F20"/>
          <w:sz w:val="20"/>
        </w:rPr>
        <w:t> </w:t>
      </w:r>
      <w:r>
        <w:rPr>
          <w:rFonts w:ascii="Times New Roman;Times;serif" w:hAnsi="Times New Roman;Times;serif"/>
          <w:b/>
          <w:i/>
          <w:color w:val="231F20"/>
          <w:sz w:val="20"/>
        </w:rPr>
        <w:t>A and Class</w:t>
      </w:r>
      <w:r>
        <w:rPr>
          <w:rFonts w:ascii="Times New Roman;Times;serif" w:hAnsi="Times New Roman;Times;serif"/>
          <w:color w:val="231F20"/>
          <w:sz w:val="20"/>
        </w:rPr>
        <w:t> </w:t>
      </w:r>
      <w:r>
        <w:rPr>
          <w:rFonts w:ascii="Times New Roman;Times;serif" w:hAnsi="Times New Roman;Times;serif"/>
          <w:b/>
          <w:i/>
          <w:color w:val="231F20"/>
          <w:sz w:val="20"/>
        </w:rPr>
        <w:t>B ordinary share</w:t>
      </w:r>
    </w:p>
    <w:p>
      <w:pPr>
        <w:pStyle w:val="TextBody"/>
        <w:bidi w:val="0"/>
        <w:spacing w:before="0" w:after="240"/>
        <w:ind w:left="0" w:right="0" w:hanging="0"/>
        <w:jc w:val="both"/>
        <w:rPr/>
      </w:pPr>
      <w:r>
        <w:rPr/>
        <w:t>​</w:t>
      </w:r>
    </w:p>
    <w:tbl>
      <w:tblPr>
        <w:tblW w:w="9860" w:type="dxa"/>
        <w:jc w:val="left"/>
        <w:tblInd w:w="0" w:type="dxa"/>
        <w:tblLayout w:type="fixed"/>
        <w:tblCellMar>
          <w:top w:w="0" w:type="dxa"/>
          <w:left w:w="0" w:type="dxa"/>
          <w:bottom w:w="0" w:type="dxa"/>
          <w:right w:w="0" w:type="dxa"/>
        </w:tblCellMar>
      </w:tblPr>
      <w:tblGrid>
        <w:gridCol w:w="7291"/>
        <w:gridCol w:w="346"/>
        <w:gridCol w:w="901"/>
        <w:gridCol w:w="346"/>
        <w:gridCol w:w="976"/>
      </w:tblGrid>
      <w:tr>
        <w:trPr/>
        <w:tc>
          <w:tcPr>
            <w:tcW w:w="7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629785" cy="175260"/>
                      <wp:effectExtent l="0" t="0" r="0" b="0"/>
                      <wp:wrapNone/>
                      <wp:docPr id="227" name="Frame226"/>
                      <a:graphic xmlns:a="http://schemas.openxmlformats.org/drawingml/2006/main">
                        <a:graphicData uri="http://schemas.microsoft.com/office/word/2010/wordprocessingShape">
                          <wps:wsp>
                            <wps:cNvSpPr txBox="1"/>
                            <wps:spPr>
                              <a:xfrm>
                                <a:off x="0" y="0"/>
                                <a:ext cx="462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2135" cy="175260"/>
                      <wp:effectExtent l="0" t="0" r="0" b="0"/>
                      <wp:wrapNone/>
                      <wp:docPr id="229" name="Frame22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19760" cy="175260"/>
                      <wp:effectExtent l="0" t="0" r="0" b="0"/>
                      <wp:wrapNone/>
                      <wp:docPr id="231" name="Frame2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7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2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attributable to shareholders of the Company (in RMB’000)</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(791,517)</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(789,750)</w:t>
            </w:r>
          </w:p>
        </w:tc>
      </w:tr>
      <w:tr>
        <w:trPr/>
        <w:tc>
          <w:tcPr>
            <w:tcW w:w="72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Class A and Class B ordinary shares for the period (in ‘000)</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906,856</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1,001,081</w:t>
            </w:r>
          </w:p>
        </w:tc>
      </w:tr>
      <w:tr>
        <w:trPr/>
        <w:tc>
          <w:tcPr>
            <w:tcW w:w="7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Class A and Class B ordinary share (in RMB)</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(0.79)</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LOSS PER CLASS A AND CLASS B ORDINARY SHARE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(b)Diluted loss per Class A and Class B ordinary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difference between basic and diluted loss per Class A and Class B ordinary share for the six months ended June 30, 2025 and 2026 due to the anti-dilutive effects of the share options (Note 24(a)).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PROPERTY AND EQUIPMENT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Group incurred capital expenditure on property and equipment with a cost of RMB221.7 million (six months ended June 30, 2025: RMB122.0 million). Items of property and equipment with a net book value of RMB13.6 million were disposed of for the six months ended June 30, 2026 (six months ended June 30, 2025: RMB1.4 million).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RIGHT-OF-USE ASSETS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six months ended June 30, 2026, the Group entered into new lease agreements for its offices and parking space and recognized RMB105.5 million addition to right-of-use assets (six months ended June 30, 2025: RMB27.9 million).</w:t>
      </w:r>
    </w:p>
    <w:p>
      <w:pPr>
        <w:pStyle w:val="TextBody"/>
        <w:bidi w:val="0"/>
        <w:spacing w:before="0" w:after="0"/>
        <w:ind w:left="0" w:right="0" w:hanging="0"/>
        <w:jc w:val="left"/>
        <w:rPr>
          <w:rFonts w:ascii="Times New Roman;Times;serif" w:hAnsi="Times New Roman;Times;serif"/>
          <w:b/>
          <w:sz w:val="20"/>
        </w:rPr>
      </w:pPr>
      <w:bookmarkStart w:id="966" w:name="Tc_14WczDaojU2uKIDgqc74ig_10_0"/>
      <w:bookmarkStart w:id="967" w:name="Tc_JNB7vyiK-EC-ZSdpbj11lw_9_4"/>
      <w:bookmarkStart w:id="968" w:name="Tc_SCN-G-7ru0mOZ6iOy4R58A_9_0"/>
      <w:bookmarkStart w:id="969" w:name="Tc_JZfE0EvnPU6CzuOQo20WjQ_8_0"/>
      <w:bookmarkStart w:id="970" w:name="Tc_atTgEYZ4L0yL_3C-SwSDvQ_6_0"/>
      <w:bookmarkStart w:id="971" w:name="Tc_cpEtlsfPUEWnU-h_ik4VJA_5_2"/>
      <w:bookmarkStart w:id="972" w:name="Tc_0KYH3pObKUmPYtNPJ2Z0QQ_5_0"/>
      <w:bookmarkStart w:id="973" w:name="Tc_9XmmNuekF0WimfkF6v5Jgg_4_0"/>
      <w:bookmarkStart w:id="974" w:name="Tc_w-gCeDbzWEypyNTkDrFAqw_3_4"/>
      <w:bookmarkStart w:id="975" w:name="Tc_7t3uhCJwl0G4yyMPVOG_uw_3_2"/>
      <w:bookmarkStart w:id="976" w:name="Tc_aPfv0VljfUC2Pgj8kLUbUw_2_4"/>
      <w:bookmarkStart w:id="977" w:name="Tc_6X9lQDj6C0uY2NfPtUcrEA_2_2"/>
      <w:bookmarkStart w:id="978" w:name="Tc_P5tKDWjvYEqNms_wJ_VAnQ_1_4"/>
      <w:bookmarkStart w:id="979" w:name="Tc_V0c7ReUBPkOARbOVgntgsg_1_2"/>
      <w:bookmarkStart w:id="980" w:name="_421fe292_b116_476e_a6ca_23edfc0fa98e"/>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i w:val="false"/>
          <w:caps w:val="false"/>
          <w:smallCaps w:val="false"/>
          <w:sz w:val="20"/>
        </w:rPr>
        <w:t>12</w:t>
      </w:r>
      <w:r>
        <w:rPr>
          <w:rFonts w:ascii="Times New Roman;Times;serif" w:hAnsi="Times New Roman;Times;serif"/>
          <w:b/>
          <w:sz w:val="20"/>
        </w:rPr>
        <w:t>RESTRICTED CASH</w:t>
      </w:r>
    </w:p>
    <w:p>
      <w:pPr>
        <w:pStyle w:val="TextBody"/>
        <w:bidi w:val="0"/>
        <w:spacing w:before="0" w:after="240"/>
        <w:ind w:left="0" w:right="0" w:hanging="0"/>
        <w:jc w:val="both"/>
        <w:rPr/>
      </w:pPr>
      <w:r>
        <w:rPr/>
        <w:t>​</w:t>
      </w:r>
    </w:p>
    <w:tbl>
      <w:tblPr>
        <w:tblW w:w="7400" w:type="dxa"/>
        <w:jc w:val="left"/>
        <w:tblInd w:w="0" w:type="dxa"/>
        <w:tblLayout w:type="fixed"/>
        <w:tblCellMar>
          <w:top w:w="0" w:type="dxa"/>
          <w:left w:w="0" w:type="dxa"/>
          <w:bottom w:w="0" w:type="dxa"/>
          <w:right w:w="0" w:type="dxa"/>
        </w:tblCellMar>
      </w:tblPr>
      <w:tblGrid>
        <w:gridCol w:w="3931"/>
        <w:gridCol w:w="346"/>
        <w:gridCol w:w="1546"/>
        <w:gridCol w:w="346"/>
        <w:gridCol w:w="123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96185" cy="175260"/>
                      <wp:effectExtent l="0" t="0" r="0" b="0"/>
                      <wp:wrapNone/>
                      <wp:docPr id="232" name="Frame231"/>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81710" cy="175260"/>
                      <wp:effectExtent l="0" t="0" r="0" b="0"/>
                      <wp:wrapNone/>
                      <wp:docPr id="234" name="Frame23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81685" cy="175260"/>
                      <wp:effectExtent l="0" t="0" r="0" b="0"/>
                      <wp:wrapNone/>
                      <wp:docPr id="236" name="Frame23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546" w:type="dxa"/>
            <w:tcBorders/>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23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  ​</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Deposits for renting office (Note (i))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546"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7,001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Deposits for letter of guarantee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6,487</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3,987</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5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6,487</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10,988</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  ​</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Deposits for renting office (Note (i))</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6,488</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Deposits for letter of guarantee and credit cards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6,422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10,420</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5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12,910</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2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10,420</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Note:</w:t>
      </w:r>
    </w:p>
    <w:p>
      <w:pPr>
        <w:pStyle w:val="TextBody"/>
        <w:bidi w:val="0"/>
        <w:spacing w:before="0" w:after="240"/>
        <w:ind w:left="0" w:right="0" w:hanging="0"/>
        <w:jc w:val="both"/>
        <w:rPr/>
      </w:pPr>
      <w:r>
        <w:rPr/>
        <w:t>​</w:t>
      </w:r>
    </w:p>
    <w:tbl>
      <w:tblPr>
        <w:tblW w:w="9947" w:type="dxa"/>
        <w:jc w:val="left"/>
        <w:tblInd w:w="0" w:type="dxa"/>
        <w:tblLayout w:type="fixed"/>
        <w:tblCellMar>
          <w:top w:w="0" w:type="dxa"/>
          <w:left w:w="0" w:type="dxa"/>
          <w:bottom w:w="0" w:type="dxa"/>
          <w:right w:w="0" w:type="dxa"/>
        </w:tblCellMar>
      </w:tblPr>
      <w:tblGrid>
        <w:gridCol w:w="286"/>
        <w:gridCol w:w="9661"/>
      </w:tblGrid>
      <w:tr>
        <w:trPr/>
        <w:tc>
          <w:tcPr>
            <w:tcW w:w="286"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(i)</w:t>
            </w:r>
          </w:p>
        </w:tc>
        <w:tc>
          <w:tcPr>
            <w:tcW w:w="96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Deposits for renting office represent cash held in collateral bank accounts in the U.S. with designated usage of deposits for renting office.</w:t>
            </w:r>
          </w:p>
        </w:tc>
      </w:tr>
    </w:tbl>
    <w:p>
      <w:pPr>
        <w:pStyle w:val="TextBody"/>
        <w:bidi w:val="0"/>
        <w:spacing w:before="0" w:after="240"/>
        <w:ind w:left="0" w:right="0" w:hanging="0"/>
        <w:jc w:val="left"/>
        <w:rPr>
          <w:rFonts w:ascii="Times New Roman;Times;serif" w:hAnsi="Times New Roman;Times;serif"/>
          <w:sz w:val="20"/>
        </w:rPr>
      </w:pPr>
      <w:bookmarkStart w:id="981" w:name="Tc_ZHugzNE9mki0mNHzsLOovg_5_0"/>
      <w:bookmarkStart w:id="982" w:name="Tc_dJcPZY1fcUmy1A8i45wM1g_4_0"/>
      <w:bookmarkStart w:id="983" w:name="Tc_d88YpNxU002LBcAFZUI3Ww_3_4"/>
      <w:bookmarkStart w:id="984" w:name="Tc_1cNZgB492EG3Gy2Fs3i5Aw_3_2"/>
      <w:bookmarkStart w:id="985" w:name="Tc_sF1yhFWDm0WgufTiyHuZUQ_2_4"/>
      <w:bookmarkStart w:id="986" w:name="Tc_Aya7zZnhlEKHGyqwFCwcdQ_2_2"/>
      <w:bookmarkStart w:id="987" w:name="Tc_6QUZ_T2ZwUSzh5m6r79uKA_1_4"/>
      <w:bookmarkStart w:id="988" w:name="Tc_PjrRuZy3ZEqoVgNA2TSQgw_1_2"/>
      <w:bookmarkStart w:id="989" w:name="_1ad77fb9_86b7_4f81_a850_7578849c2020"/>
      <w:bookmarkEnd w:id="981"/>
      <w:bookmarkEnd w:id="982"/>
      <w:bookmarkEnd w:id="983"/>
      <w:bookmarkEnd w:id="984"/>
      <w:bookmarkEnd w:id="985"/>
      <w:bookmarkEnd w:id="986"/>
      <w:bookmarkEnd w:id="987"/>
      <w:bookmarkEnd w:id="988"/>
      <w:bookmarkEnd w:id="989"/>
      <w:r>
        <w:rPr>
          <w:rFonts w:ascii="Times New Roman;Times;serif" w:hAnsi="Times New Roman;Times;serif"/>
          <w:b/>
          <w:i w:val="false"/>
          <w:caps w:val="false"/>
          <w:smallCaps w:val="false"/>
          <w:sz w:val="20"/>
        </w:rPr>
        <w:t>13</w:t>
      </w:r>
      <w:r>
        <w:rPr>
          <w:rFonts w:ascii="Times New Roman;Times;serif" w:hAnsi="Times New Roman;Times;serif"/>
          <w:b/>
          <w:sz w:val="20"/>
        </w:rPr>
        <w:t>INVENTORIES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Inventories comprise:</w:t>
      </w:r>
    </w:p>
    <w:p>
      <w:pPr>
        <w:pStyle w:val="TextBody"/>
        <w:bidi w:val="0"/>
        <w:spacing w:before="0" w:after="0"/>
        <w:ind w:left="0" w:right="0" w:hanging="0"/>
        <w:jc w:val="left"/>
        <w:rPr/>
      </w:pPr>
      <w:r>
        <w:rPr/>
        <w:t>​</w:t>
      </w:r>
    </w:p>
    <w:tbl>
      <w:tblPr>
        <w:tblW w:w="5795" w:type="dxa"/>
        <w:jc w:val="left"/>
        <w:tblInd w:w="0" w:type="dxa"/>
        <w:tblLayout w:type="fixed"/>
        <w:tblCellMar>
          <w:top w:w="0" w:type="dxa"/>
          <w:left w:w="0" w:type="dxa"/>
          <w:bottom w:w="0" w:type="dxa"/>
          <w:right w:w="0" w:type="dxa"/>
        </w:tblCellMar>
      </w:tblPr>
      <w:tblGrid>
        <w:gridCol w:w="2326"/>
        <w:gridCol w:w="346"/>
        <w:gridCol w:w="1546"/>
        <w:gridCol w:w="346"/>
        <w:gridCol w:w="123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77010" cy="175260"/>
                      <wp:effectExtent l="0" t="0" r="0" b="0"/>
                      <wp:wrapNone/>
                      <wp:docPr id="237" name="Frame23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81710" cy="175260"/>
                      <wp:effectExtent l="0" t="0" r="0" b="0"/>
                      <wp:wrapNone/>
                      <wp:docPr id="239" name="Frame23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81685" cy="175260"/>
                      <wp:effectExtent l="0" t="0" r="0" b="0"/>
                      <wp:wrapNone/>
                      <wp:docPr id="241" name="Frame24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Production supplies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72,840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127,965</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Work in progress (Note (i))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248,181</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311,147</w:t>
            </w:r>
          </w:p>
        </w:tc>
      </w:tr>
      <w:tr>
        <w:trPr/>
        <w:tc>
          <w:tcPr>
            <w:tcW w:w="2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321,021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439,112</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6"/>
        </w:rPr>
        <w:t>(i)</w:t>
      </w:r>
      <w:r>
        <w:rPr>
          <w:rFonts w:ascii="Times New Roman;Times;serif" w:hAnsi="Times New Roman;Times;serif"/>
          <w:sz w:val="16"/>
        </w:rPr>
        <w:t>Work in progress represents vehicles in the process of deployment for sale.</w:t>
      </w:r>
    </w:p>
    <w:p>
      <w:pPr>
        <w:pStyle w:val="TextBody"/>
        <w:bidi w:val="0"/>
        <w:spacing w:before="0" w:after="240"/>
        <w:ind w:left="0" w:right="0" w:hanging="0"/>
        <w:jc w:val="both"/>
        <w:rPr/>
      </w:pPr>
      <w:r>
        <w:rPr/>
        <w:t>​</w:t>
      </w:r>
    </w:p>
    <w:p>
      <w:pPr>
        <w:pStyle w:val="TextBody"/>
        <w:bidi w:val="0"/>
        <w:spacing w:before="0" w:after="0"/>
        <w:ind w:left="0" w:right="0" w:hanging="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990" w:name="Tc_1F-8ZxGMN0aF0tKy8ixf8A_5_0"/>
      <w:bookmarkStart w:id="991" w:name="Tc_tf9StOIhpkuji53E4W0mKg_4_0"/>
      <w:bookmarkStart w:id="992" w:name="Tc_8N_jzkpdYUyPI8upv0TjMg_3_4"/>
      <w:bookmarkStart w:id="993" w:name="Tc_Z74EmuLQAk-5xdNwJNc1Vw_3_2"/>
      <w:bookmarkStart w:id="994" w:name="Tc_KRxLJQ_-BEuG66LXFloSAA_2_4"/>
      <w:bookmarkStart w:id="995" w:name="Tc_-Czlkrw3dU-GfH4hAzQWew_2_2"/>
      <w:bookmarkStart w:id="996" w:name="Tc_zLLig3tyu0i6VPqBr2g6cw_1_2"/>
      <w:bookmarkStart w:id="997" w:name="_bf2e9aa2_749e_4a2b_9515_4e48806bbdf3"/>
      <w:bookmarkEnd w:id="990"/>
      <w:bookmarkEnd w:id="991"/>
      <w:bookmarkEnd w:id="992"/>
      <w:bookmarkEnd w:id="993"/>
      <w:bookmarkEnd w:id="994"/>
      <w:bookmarkEnd w:id="995"/>
      <w:bookmarkEnd w:id="996"/>
      <w:bookmarkEnd w:id="997"/>
      <w:r>
        <w:rPr>
          <w:rFonts w:ascii="Times New Roman;Times;serif" w:hAnsi="Times New Roman;Times;serif"/>
          <w:b/>
          <w:i w:val="false"/>
          <w:caps w:val="false"/>
          <w:smallCaps w:val="false"/>
          <w:sz w:val="20"/>
        </w:rPr>
        <w:t>13</w:t>
      </w:r>
      <w:r>
        <w:rPr>
          <w:rFonts w:ascii="Times New Roman;Times;serif" w:hAnsi="Times New Roman;Times;serif"/>
          <w:b/>
          <w:sz w:val="20"/>
        </w:rPr>
        <w:t>INVENTORIES (CONTINUED)</w:t>
      </w:r>
    </w:p>
    <w:tbl>
      <w:tblPr>
        <w:tblW w:w="9872" w:type="dxa"/>
        <w:jc w:val="left"/>
        <w:tblInd w:w="0" w:type="dxa"/>
        <w:tblLayout w:type="fixed"/>
        <w:tblCellMar>
          <w:top w:w="0" w:type="dxa"/>
          <w:left w:w="0" w:type="dxa"/>
          <w:bottom w:w="0" w:type="dxa"/>
          <w:right w:w="0" w:type="dxa"/>
        </w:tblCellMar>
      </w:tblPr>
      <w:tblGrid>
        <w:gridCol w:w="346"/>
        <w:gridCol w:w="9526"/>
      </w:tblGrid>
      <w:tr>
        <w:trPr/>
        <w:tc>
          <w:tcPr>
            <w:tcW w:w="346" w:type="dxa"/>
            <w:tcBorders/>
            <w:vAlign w:val="center"/>
          </w:tcPr>
          <w:p>
            <w:pPr>
              <w:pStyle w:val="TableContents"/>
              <w:bidi w:val="0"/>
              <w:spacing w:before="0" w:after="283"/>
              <w:jc w:val="left"/>
              <w:rPr>
                <w:rFonts w:ascii="Times New Roman;Times;serif" w:hAnsi="Times New Roman;Times;serif"/>
                <w:b/>
                <w:i/>
                <w:color w:val="231F20"/>
                <w:sz w:val="20"/>
              </w:rPr>
            </w:pPr>
            <w:r>
              <w:rPr>
                <w:rFonts w:ascii="Times New Roman;Times;serif" w:hAnsi="Times New Roman;Times;serif"/>
                <w:b/>
                <w:i/>
                <w:color w:val="231F20"/>
                <w:sz w:val="20"/>
              </w:rPr>
              <w:t>(b)</w:t>
            </w:r>
          </w:p>
        </w:tc>
        <w:tc>
          <w:tcPr>
            <w:tcW w:w="9526" w:type="dxa"/>
            <w:tcBorders/>
            <w:vAlign w:val="center"/>
          </w:tcPr>
          <w:p>
            <w:pPr>
              <w:pStyle w:val="TableContents"/>
              <w:bidi w:val="0"/>
              <w:spacing w:before="0" w:after="283"/>
              <w:jc w:val="left"/>
              <w:rPr>
                <w:rFonts w:ascii="Times New Roman;Times;serif" w:hAnsi="Times New Roman;Times;serif"/>
                <w:b/>
                <w:i/>
                <w:color w:val="231F20"/>
                <w:sz w:val="20"/>
              </w:rPr>
            </w:pPr>
            <w:r>
              <w:rPr>
                <w:rFonts w:ascii="Times New Roman;Times;serif" w:hAnsi="Times New Roman;Times;serif"/>
                <w:b/>
                <w:i/>
                <w:color w:val="231F20"/>
                <w:sz w:val="20"/>
              </w:rPr>
              <w:t>The analysis of the amount of inventories recognized as cost of revenue and included in profit or loss is as follows:</w:t>
            </w:r>
          </w:p>
        </w:tc>
      </w:tr>
    </w:tbl>
    <w:p>
      <w:pPr>
        <w:pStyle w:val="TextBody"/>
        <w:bidi w:val="0"/>
        <w:spacing w:before="0" w:after="0"/>
        <w:ind w:left="0" w:right="0" w:hanging="0"/>
        <w:jc w:val="left"/>
        <w:rPr/>
      </w:pPr>
      <w:r>
        <w:rPr/>
        <w:t>​</w:t>
      </w:r>
    </w:p>
    <w:tbl>
      <w:tblPr>
        <w:tblW w:w="6197" w:type="dxa"/>
        <w:jc w:val="left"/>
        <w:tblInd w:w="0" w:type="dxa"/>
        <w:tblLayout w:type="fixed"/>
        <w:tblCellMar>
          <w:top w:w="0" w:type="dxa"/>
          <w:left w:w="0" w:type="dxa"/>
          <w:bottom w:w="0" w:type="dxa"/>
          <w:right w:w="0" w:type="dxa"/>
        </w:tblCellMar>
      </w:tblPr>
      <w:tblGrid>
        <w:gridCol w:w="3181"/>
        <w:gridCol w:w="346"/>
        <w:gridCol w:w="1064"/>
        <w:gridCol w:w="462"/>
        <w:gridCol w:w="114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19935" cy="175260"/>
                      <wp:effectExtent l="0" t="0" r="0" b="0"/>
                      <wp:wrapNone/>
                      <wp:docPr id="242" name="Frame241"/>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75640" cy="175260"/>
                      <wp:effectExtent l="0" t="0" r="0" b="0"/>
                      <wp:wrapNone/>
                      <wp:docPr id="244" name="Frame243"/>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93370" cy="175260"/>
                      <wp:effectExtent l="0" t="0" r="0" b="0"/>
                      <wp:wrapNone/>
                      <wp:docPr id="245" name="Frame24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26440" cy="175260"/>
                      <wp:effectExtent l="0" t="0" r="0" b="0"/>
                      <wp:wrapNone/>
                      <wp:docPr id="246" name="Frame24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267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six months ended June 30, </w:t>
            </w:r>
          </w:p>
        </w:tc>
      </w:tr>
      <w:tr>
        <w:trPr/>
        <w:tc>
          <w:tcPr>
            <w:tcW w:w="3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462" w:type="dxa"/>
            <w:tcBorders/>
            <w:vAlign w:val="center"/>
          </w:tcPr>
          <w:p>
            <w:pPr>
              <w:pStyle w:val="TableContents"/>
              <w:bidi w:val="0"/>
              <w:spacing w:before="0" w:after="0"/>
              <w:ind w:left="0" w:right="0" w:hanging="0"/>
              <w:jc w:val="left"/>
              <w:rPr>
                <w:color w:val="231F20"/>
              </w:rPr>
            </w:pPr>
            <w:r>
              <w:rPr>
                <w:color w:val="231F20"/>
              </w:rPr>
              <w:t>  ​ ​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pPr>
            <w:r>
              <w:rPr/>
              <w:t>​</w:t>
            </w:r>
          </w:p>
        </w:tc>
        <w:tc>
          <w:tcPr>
            <w:tcW w:w="1064"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462"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Carrying amounts of inventories sold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34,070</w:t>
            </w:r>
          </w:p>
        </w:tc>
        <w:tc>
          <w:tcPr>
            <w:tcW w:w="462"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64,484</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Write-down of inventories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1,391</w:t>
            </w:r>
          </w:p>
        </w:tc>
        <w:tc>
          <w:tcPr>
            <w:tcW w:w="462" w:type="dxa"/>
            <w:tcBorders/>
            <w:vAlign w:val="center"/>
          </w:tcPr>
          <w:p>
            <w:pPr>
              <w:pStyle w:val="TableContents"/>
              <w:bidi w:val="0"/>
              <w:spacing w:before="0" w:after="0"/>
              <w:ind w:left="0" w:right="0" w:hanging="0"/>
              <w:jc w:val="left"/>
              <w:rPr>
                <w:color w:val="231F20"/>
              </w:rPr>
            </w:pPr>
            <w:r>
              <w:rPr>
                <w:color w:val="231F20"/>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2,877</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35,461</w:t>
            </w:r>
          </w:p>
        </w:tc>
        <w:tc>
          <w:tcPr>
            <w:tcW w:w="462"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67,361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998" w:name="Tc_OOHVJ7VHhE-rbksrIYggYg_6_0"/>
      <w:bookmarkStart w:id="999" w:name="Tc__TWx7mgGKEC3_qoXkqumiw_5_0"/>
      <w:bookmarkStart w:id="1000" w:name="Tc_d4URYXkhXkSOMCSEw-BUMA_4_0"/>
      <w:bookmarkStart w:id="1001" w:name="Tc_s21HijYMuEuvb7ShtI6ZYA_3_4"/>
      <w:bookmarkStart w:id="1002" w:name="Tc_ygMM36lK3U26fuLklL1-6w_3_2"/>
      <w:bookmarkStart w:id="1003" w:name="Tc_bI33FXazvUeCQEXAP867SA_2_4"/>
      <w:bookmarkStart w:id="1004" w:name="Tc_94jEZwg22EKHWCwaaz-MWg_2_2"/>
      <w:bookmarkStart w:id="1005" w:name="Tc_7axdMBSYxkStp4xIhOO0nw_1_4"/>
      <w:bookmarkStart w:id="1006" w:name="Tc_9tL74axdA0CC32gMLiLGOQ_1_2"/>
      <w:bookmarkStart w:id="1007" w:name="_93e3de17_165a_4fcb_8e3f_54bceca217bc"/>
      <w:bookmarkStart w:id="1008" w:name="Tc_su25uZgwQESW2Vbf2crQ1Q_7_0"/>
      <w:bookmarkStart w:id="1009" w:name="Tc_3xGIyEWJmkOjT6d2uQvLkw_6_0"/>
      <w:bookmarkStart w:id="1010" w:name="Tc_xXGeEO37I0eYTo4m6MuuZQ_5_0"/>
      <w:bookmarkStart w:id="1011" w:name="Tc_m93uQVVRnE2Q4w8cag1-Dw_4_0"/>
      <w:bookmarkStart w:id="1012" w:name="Tc_PuSxmukXDUOvyu1xLLYicw_3_4"/>
      <w:bookmarkStart w:id="1013" w:name="Tc_PKvH_MpOqkaIdvKsP2adXg_3_2"/>
      <w:bookmarkStart w:id="1014" w:name="Tc_81j9vMhUkkyoCFCR3kPXLg_2_4"/>
      <w:bookmarkStart w:id="1015" w:name="Tc_ZuilvnxnW0CSvdihhSM7Lw_2_2"/>
      <w:bookmarkStart w:id="1016" w:name="Tc_B36sdBoVN0Gvstwr6zzSxA_1_4"/>
      <w:bookmarkStart w:id="1017" w:name="Tc_TcD0jYN0UEe5sQkiDgnE8Q_1_2"/>
      <w:bookmarkStart w:id="1018" w:name="_d46d9ac6_0bd0_45e7_85d3_b0e1f7d52fc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b/>
          <w:i w:val="false"/>
          <w:caps w:val="false"/>
          <w:smallCaps w:val="false"/>
          <w:color w:val="231F20"/>
          <w:sz w:val="20"/>
        </w:rPr>
        <w:t>14</w:t>
      </w:r>
      <w:r>
        <w:rPr>
          <w:rFonts w:ascii="Times New Roman;Times;serif" w:hAnsi="Times New Roman;Times;serif"/>
          <w:b/>
          <w:color w:val="231F20"/>
          <w:sz w:val="20"/>
        </w:rPr>
        <w:t>CONTRACT ASSETS AND CONTRACT LIABILITIES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Contract assets</w:t>
      </w:r>
    </w:p>
    <w:p>
      <w:pPr>
        <w:pStyle w:val="TextBody"/>
        <w:bidi w:val="0"/>
        <w:spacing w:before="0" w:after="0"/>
        <w:ind w:left="0" w:right="0" w:hanging="0"/>
        <w:jc w:val="left"/>
        <w:rPr/>
      </w:pPr>
      <w:r>
        <w:rPr/>
        <w:t>​</w:t>
      </w:r>
    </w:p>
    <w:tbl>
      <w:tblPr>
        <w:tblW w:w="7670" w:type="dxa"/>
        <w:jc w:val="left"/>
        <w:tblInd w:w="0" w:type="dxa"/>
        <w:tblLayout w:type="fixed"/>
        <w:tblCellMar>
          <w:top w:w="0" w:type="dxa"/>
          <w:left w:w="0" w:type="dxa"/>
          <w:bottom w:w="0" w:type="dxa"/>
          <w:right w:w="0" w:type="dxa"/>
        </w:tblCellMar>
      </w:tblPr>
      <w:tblGrid>
        <w:gridCol w:w="4201"/>
        <w:gridCol w:w="346"/>
        <w:gridCol w:w="1546"/>
        <w:gridCol w:w="346"/>
        <w:gridCol w:w="123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67635" cy="175260"/>
                      <wp:effectExtent l="0" t="0" r="0" b="0"/>
                      <wp:wrapNone/>
                      <wp:docPr id="247" name="Frame246"/>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81710" cy="175260"/>
                      <wp:effectExtent l="0" t="0" r="0" b="0"/>
                      <wp:wrapNone/>
                      <wp:docPr id="249" name="Frame24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81685" cy="175260"/>
                      <wp:effectExtent l="0" t="0" r="0" b="0"/>
                      <wp:wrapNone/>
                      <wp:docPr id="251" name="Frame25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center"/>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Arising from sales of autonomous driving vehicles</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21,251</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21,449</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Arising from provision of 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25,964</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26,010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loss allowance</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(23,910)</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(23,495)</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23,305</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23,964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of the amounts are expected to be recovered within one year from the end of each of the reporting year/period.</w:t>
      </w:r>
    </w:p>
    <w:p>
      <w:pPr>
        <w:pStyle w:val="TextBody"/>
        <w:bidi w:val="0"/>
        <w:spacing w:before="0" w:after="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(b) Contract liabilities</w:t>
      </w:r>
    </w:p>
    <w:p>
      <w:pPr>
        <w:pStyle w:val="TextBody"/>
        <w:bidi w:val="0"/>
        <w:spacing w:before="0" w:after="240"/>
        <w:ind w:left="0" w:right="0" w:hanging="0"/>
        <w:jc w:val="both"/>
        <w:rPr/>
      </w:pPr>
      <w:r>
        <w:rPr/>
        <w:t>​</w:t>
      </w:r>
    </w:p>
    <w:tbl>
      <w:tblPr>
        <w:tblW w:w="6995" w:type="dxa"/>
        <w:jc w:val="left"/>
        <w:tblInd w:w="0" w:type="dxa"/>
        <w:tblLayout w:type="fixed"/>
        <w:tblCellMar>
          <w:top w:w="0" w:type="dxa"/>
          <w:left w:w="0" w:type="dxa"/>
          <w:bottom w:w="0" w:type="dxa"/>
          <w:right w:w="0" w:type="dxa"/>
        </w:tblCellMar>
      </w:tblPr>
      <w:tblGrid>
        <w:gridCol w:w="3526"/>
        <w:gridCol w:w="346"/>
        <w:gridCol w:w="1546"/>
        <w:gridCol w:w="346"/>
        <w:gridCol w:w="123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39010" cy="175260"/>
                      <wp:effectExtent l="0" t="0" r="0" b="0"/>
                      <wp:wrapNone/>
                      <wp:docPr id="252" name="Frame251"/>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81710" cy="175260"/>
                      <wp:effectExtent l="0" t="0" r="0" b="0"/>
                      <wp:wrapNone/>
                      <wp:docPr id="254" name="Frame25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81685" cy="175260"/>
                      <wp:effectExtent l="0" t="0" r="0" b="0"/>
                      <wp:wrapNone/>
                      <wp:docPr id="256" name="Frame25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  ​</w:t>
            </w:r>
          </w:p>
        </w:tc>
      </w:tr>
      <w:tr>
        <w:trPr/>
        <w:tc>
          <w:tcPr>
            <w:tcW w:w="3526" w:type="dxa"/>
            <w:tcBorders/>
            <w:vAlign w:val="center"/>
          </w:tcPr>
          <w:p>
            <w:pPr>
              <w:pStyle w:val="TableContents"/>
              <w:bidi w:val="0"/>
              <w:spacing w:before="0" w:after="0"/>
              <w:ind w:left="0" w:right="0" w:hanging="0"/>
              <w:jc w:val="left"/>
              <w:rPr>
                <w:color w:val="231F20"/>
              </w:rPr>
            </w:pPr>
            <w:r>
              <w:rPr>
                <w:color w:val="231F20"/>
              </w:rPr>
              <w:t>–</w:t>
            </w:r>
            <w:r>
              <w:rPr>
                <w:rFonts w:ascii="Times New Roman;Times;serif" w:hAnsi="Times New Roman;Times;serif"/>
                <w:color w:val="231F20"/>
                <w:sz w:val="20"/>
              </w:rPr>
              <w:t xml:space="preserve">Billings in advance of performance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10,843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23,398</w:t>
            </w:r>
          </w:p>
        </w:tc>
      </w:tr>
      <w:tr>
        <w:trPr/>
        <w:tc>
          <w:tcPr>
            <w:tcW w:w="3526" w:type="dxa"/>
            <w:tcBorders/>
            <w:shd w:fill="CCEEFF" w:val="clear"/>
            <w:vAlign w:val="center"/>
          </w:tcPr>
          <w:p>
            <w:pPr>
              <w:pStyle w:val="TableContents"/>
              <w:bidi w:val="0"/>
              <w:spacing w:before="0" w:after="0"/>
              <w:ind w:left="0" w:right="0" w:hanging="0"/>
              <w:jc w:val="left"/>
              <w:rPr>
                <w:color w:val="231F20"/>
              </w:rPr>
            </w:pPr>
            <w:r>
              <w:rPr>
                <w:color w:val="231F20"/>
              </w:rPr>
              <w:t>–</w:t>
            </w:r>
            <w:r>
              <w:rPr>
                <w:rFonts w:ascii="Times New Roman;Times;serif" w:hAnsi="Times New Roman;Times;serif"/>
                <w:color w:val="231F20"/>
                <w:sz w:val="20"/>
              </w:rPr>
              <w:t xml:space="preserve">Billings in advance of goods transferred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17,669</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24,655</w:t>
            </w:r>
          </w:p>
        </w:tc>
      </w:tr>
      <w:tr>
        <w:trPr/>
        <w:tc>
          <w:tcPr>
            <w:tcW w:w="352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28,512</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48,053</w:t>
            </w:r>
          </w:p>
        </w:tc>
      </w:tr>
    </w:tbl>
    <w:p>
      <w:pPr>
        <w:pStyle w:val="TextBody"/>
        <w:bidi w:val="0"/>
        <w:spacing w:before="0" w:after="0"/>
        <w:ind w:left="0" w:right="0" w:hanging="0"/>
        <w:jc w:val="left"/>
        <w:rPr>
          <w:color w:val="231F20"/>
        </w:rPr>
      </w:pPr>
      <w:r>
        <w:rPr>
          <w:color w:val="231F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amount of RMB14.2 million included in contract liabilities as of December 31, 2025 was recognized as revenue for the six months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019" w:name="Tc_NS7lFqCWY0qqA04Gi9gbOA_6_0"/>
      <w:bookmarkStart w:id="1020" w:name="Tc_CfppUWcsyEySnvvVQs3JeA_5_0"/>
      <w:bookmarkStart w:id="1021" w:name="Tc_2Lsoad8Oe02HmVRvSJEypA_4_4"/>
      <w:bookmarkStart w:id="1022" w:name="Tc_L5cZ1O2m7ke4ahx1uwUeRg_4_2"/>
      <w:bookmarkStart w:id="1023" w:name="Tc_Zoo2GIpC1kWV-jAEFFXxhQ_3_4"/>
      <w:bookmarkStart w:id="1024" w:name="Tc__fQfFoTSBUq6QXhK-BM5Kg_3_2"/>
      <w:bookmarkStart w:id="1025" w:name="Tc_b1Pm7mCodEyO2LkPm3F_Jw_2_4"/>
      <w:bookmarkStart w:id="1026" w:name="Tc_qvrEhw6vvkefL7h5gBBltg_2_2"/>
      <w:bookmarkStart w:id="1027" w:name="Tc_brONEs8ma06Zb-hGqToVWA_1_4"/>
      <w:bookmarkStart w:id="1028" w:name="Tc_cU9aNzdXMUy5vzvG-wADDA_1_2"/>
      <w:bookmarkStart w:id="1029" w:name="Tc_e5wmCki0YkWasyk79U8Z8Q_14_0"/>
      <w:bookmarkStart w:id="1030" w:name="Tc_ikCYLOztlkGIC1Yg8hpheg_13_0"/>
      <w:bookmarkStart w:id="1031" w:name="Tc_AmduPDsgs0aozgyf0yQNwQ_12_0"/>
      <w:bookmarkStart w:id="1032" w:name="Tc_eludTExpYk2fwjXLAPrZiA_11_0"/>
      <w:bookmarkStart w:id="1033" w:name="Tc_ZupZfaM3HEG4XvK8pjbOYQ_10_0"/>
      <w:bookmarkStart w:id="1034" w:name="Tc_TZuWgw6tmEOgfuHvhBlcRw_9_0"/>
      <w:bookmarkStart w:id="1035" w:name="Tc_BSyG7z7tZUOxu0HLdjPn4w_8_0"/>
      <w:bookmarkStart w:id="1036" w:name="Tc_W2PanUJj_0uqR5IzBHA58Q_7_0"/>
      <w:bookmarkStart w:id="1037" w:name="Tc_1dIZQB0cukCtHKOa9w44ag_6_0"/>
      <w:bookmarkStart w:id="1038" w:name="Tc_PHZmRmP91ESO4DkXE3l0qw_5_0"/>
      <w:bookmarkStart w:id="1039" w:name="Tc_tcKLjBgHHkaQnkQgQyVAqA_4_0"/>
      <w:bookmarkStart w:id="1040" w:name="Tc_if7b0f08Q0Wl9j8XxRFzAQ_3_4"/>
      <w:bookmarkStart w:id="1041" w:name="Tc_11wwuBPp20e9kH8nwU-7uA_3_2"/>
      <w:bookmarkStart w:id="1042" w:name="Tc_PPQKo3XgokmxScvtXwaQrA_2_4"/>
      <w:bookmarkStart w:id="1043" w:name="Tc_FbqLVbUrWUG09HMaODtPqA_2_2"/>
      <w:bookmarkStart w:id="1044" w:name="Tc_-BpYhXvni0uGd8ddXAS8zQ_1_4"/>
      <w:bookmarkStart w:id="1045" w:name="Tc_lwcmIDxBDUKhU7VW6Rfmbw_1_2"/>
      <w:bookmarkStart w:id="1046" w:name="_522649d7_aab8_479e_a3e2_176ceb3f74ac"/>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Times New Roman;Times;serif" w:hAnsi="Times New Roman;Times;serif"/>
          <w:b/>
          <w:i w:val="false"/>
          <w:caps w:val="false"/>
          <w:smallCaps w:val="false"/>
          <w:sz w:val="20"/>
        </w:rPr>
        <w:t>15</w:t>
      </w:r>
      <w:r>
        <w:rPr>
          <w:rFonts w:ascii="Times New Roman;Times;serif" w:hAnsi="Times New Roman;Times;serif"/>
          <w:b/>
          <w:sz w:val="20"/>
        </w:rPr>
        <w:t>TRADE RECEIVABLES, PREPAYMENTS AND OTHER RECEIVABLES</w:t>
      </w:r>
    </w:p>
    <w:p>
      <w:pPr>
        <w:pStyle w:val="TextBody"/>
        <w:bidi w:val="0"/>
        <w:spacing w:before="0" w:after="240"/>
        <w:ind w:left="0" w:right="0" w:hanging="0"/>
        <w:jc w:val="both"/>
        <w:rPr/>
      </w:pPr>
      <w:r>
        <w:rPr/>
        <w:t>​</w:t>
      </w:r>
    </w:p>
    <w:tbl>
      <w:tblPr>
        <w:tblW w:w="9650" w:type="dxa"/>
        <w:jc w:val="left"/>
        <w:tblInd w:w="0" w:type="dxa"/>
        <w:tblLayout w:type="fixed"/>
        <w:tblCellMar>
          <w:top w:w="0" w:type="dxa"/>
          <w:left w:w="0" w:type="dxa"/>
          <w:bottom w:w="0" w:type="dxa"/>
          <w:right w:w="0" w:type="dxa"/>
        </w:tblCellMar>
      </w:tblPr>
      <w:tblGrid>
        <w:gridCol w:w="6181"/>
        <w:gridCol w:w="346"/>
        <w:gridCol w:w="1546"/>
        <w:gridCol w:w="346"/>
        <w:gridCol w:w="1231"/>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924935" cy="175260"/>
                      <wp:effectExtent l="0" t="0" r="0" b="0"/>
                      <wp:wrapNone/>
                      <wp:docPr id="257" name="Frame256"/>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81710" cy="175260"/>
                      <wp:effectExtent l="0" t="0" r="0" b="0"/>
                      <wp:wrapNone/>
                      <wp:docPr id="259" name="Frame25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81685" cy="175260"/>
                      <wp:effectExtent l="0" t="0" r="0" b="0"/>
                      <wp:wrapNone/>
                      <wp:docPr id="261" name="Frame26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6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618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531,930</w:t>
            </w:r>
          </w:p>
        </w:tc>
        <w:tc>
          <w:tcPr>
            <w:tcW w:w="34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521,823</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loss allowance</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(69,795)</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(66,058)</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net of loss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462,135</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455,765</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Receivables from payments made on behalf of customers, net of allowance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19,593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9,855</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color w:val="231F20"/>
                <w:sz w:val="20"/>
              </w:rPr>
              <w:t>Other receivables</w:t>
            </w:r>
            <w:r>
              <w:rPr>
                <w:rFonts w:ascii="Times New Roman;Times;serif" w:hAnsi="Times New Roman;Times;serif"/>
                <w:color w:val="231F20"/>
                <w:sz w:val="20"/>
              </w:rPr>
              <w:t xml:space="preserve">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19,593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9,855</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 xml:space="preserve">Trade and other receivables at amortized cost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481,728</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465,620</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Prepayments to suppliers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109,584</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102,822</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Refundable value-added tax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106,946</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156,671</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Others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33,863</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34,138</w:t>
            </w:r>
          </w:p>
        </w:tc>
      </w:tr>
      <w:tr>
        <w:trPr/>
        <w:tc>
          <w:tcPr>
            <w:tcW w:w="6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color w:val="231F20"/>
                <w:sz w:val="20"/>
              </w:rPr>
              <w:t>Prepayments and others</w:t>
            </w:r>
            <w:r>
              <w:rPr>
                <w:rFonts w:ascii="Times New Roman;Times;serif" w:hAnsi="Times New Roman;Times;serif"/>
                <w:color w:val="231F20"/>
                <w:sz w:val="20"/>
              </w:rPr>
              <w:t xml:space="preserve">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250,393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293,631</w:t>
            </w:r>
          </w:p>
        </w:tc>
      </w:tr>
      <w:tr>
        <w:trPr/>
        <w:tc>
          <w:tcPr>
            <w:tcW w:w="6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color w:val="231F20"/>
                <w:sz w:val="20"/>
              </w:rPr>
              <w:t>Prepayments and other receivables</w:t>
            </w:r>
            <w:r>
              <w:rPr>
                <w:rFonts w:ascii="Times New Roman;Times;serif" w:hAnsi="Times New Roman;Times;serif"/>
                <w:color w:val="231F20"/>
                <w:sz w:val="20"/>
              </w:rPr>
              <w:t xml:space="preserve">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269,986</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303,486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of the trade and other receivables are expected to be recovered or recognized as expense within one year. Trade receivables are normally due within 30 to 90 days from the invoice date.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Aging analysis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Aging analysis of trade receivables based on the invoice date is as follows:</w:t>
      </w:r>
    </w:p>
    <w:p>
      <w:pPr>
        <w:pStyle w:val="TextBody"/>
        <w:bidi w:val="0"/>
        <w:spacing w:before="0" w:after="0"/>
        <w:ind w:left="0" w:right="0" w:hanging="0"/>
        <w:jc w:val="left"/>
        <w:rPr/>
      </w:pPr>
      <w:r>
        <w:rPr/>
        <w:t>​</w:t>
      </w:r>
    </w:p>
    <w:tbl>
      <w:tblPr>
        <w:tblW w:w="4160" w:type="dxa"/>
        <w:jc w:val="left"/>
        <w:tblInd w:w="0" w:type="dxa"/>
        <w:tblLayout w:type="fixed"/>
        <w:tblCellMar>
          <w:top w:w="0" w:type="dxa"/>
          <w:left w:w="0" w:type="dxa"/>
          <w:bottom w:w="0" w:type="dxa"/>
          <w:right w:w="0" w:type="dxa"/>
        </w:tblCellMar>
      </w:tblPr>
      <w:tblGrid>
        <w:gridCol w:w="1501"/>
        <w:gridCol w:w="346"/>
        <w:gridCol w:w="1081"/>
        <w:gridCol w:w="346"/>
        <w:gridCol w:w="88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953135" cy="175260"/>
                      <wp:effectExtent l="0" t="0" r="0" b="0"/>
                      <wp:wrapNone/>
                      <wp:docPr id="262" name="Frame26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86435" cy="175260"/>
                      <wp:effectExtent l="0" t="0" r="0" b="0"/>
                      <wp:wrapNone/>
                      <wp:docPr id="264" name="Frame26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62610" cy="175260"/>
                      <wp:effectExtent l="0" t="0" r="0" b="0"/>
                      <wp:wrapNone/>
                      <wp:docPr id="266" name="Frame2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December 31,</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501"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RMB’000</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Within 1 year</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378,383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410,340</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More than 1 year</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153,547</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111,483</w:t>
            </w:r>
          </w:p>
        </w:tc>
      </w:tr>
      <w:tr>
        <w:trPr/>
        <w:tc>
          <w:tcPr>
            <w:tcW w:w="15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531,930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521,823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47" w:name="Tc_w_0KGBAkWki2OVbL5eYx0A_5_0"/>
      <w:bookmarkStart w:id="1048" w:name="Tc_dN01yQlh6kaAxVDo-JM51Q_4_0"/>
      <w:bookmarkStart w:id="1049" w:name="Tc_cKwz7wf8ZE-IJ8j9a2DTYQ_3_4"/>
      <w:bookmarkStart w:id="1050" w:name="Tc_maXmUaqi8kKp6R30CeY27Q_3_2"/>
      <w:bookmarkStart w:id="1051" w:name="Tc_paNRDhSDvkWWHjdBUycSbQ_2_4"/>
      <w:bookmarkStart w:id="1052" w:name="Tc_YIHQeBUD20WKU293y_9JIQ_2_2"/>
      <w:bookmarkStart w:id="1053" w:name="Tc_0nFpIwfzzkuuiGh4p772VQ_1_4"/>
      <w:bookmarkStart w:id="1054" w:name="Tc_BaKmz-_yyUGEK8qd7qXccQ_1_2"/>
      <w:bookmarkEnd w:id="1047"/>
      <w:bookmarkEnd w:id="1048"/>
      <w:bookmarkEnd w:id="1049"/>
      <w:bookmarkEnd w:id="1050"/>
      <w:bookmarkEnd w:id="1051"/>
      <w:bookmarkEnd w:id="1052"/>
      <w:bookmarkEnd w:id="1053"/>
      <w:bookmarkEnd w:id="1054"/>
      <w:r>
        <w:rPr>
          <w:rFonts w:ascii="Times New Roman;Times;serif" w:hAnsi="Times New Roman;Times;serif"/>
          <w:b/>
          <w:i w:val="false"/>
          <w:caps w:val="false"/>
          <w:smallCaps w:val="false"/>
          <w:color w:val="231F20"/>
          <w:sz w:val="20"/>
        </w:rPr>
        <w:t>16</w:t>
      </w:r>
      <w:r>
        <w:rPr>
          <w:rFonts w:ascii="Times New Roman;Times;serif" w:hAnsi="Times New Roman;Times;serif"/>
          <w:b/>
          <w:color w:val="231F20"/>
          <w:sz w:val="20"/>
        </w:rPr>
        <w:t>OTHER NON-CURRENT ASSETS</w:t>
      </w:r>
    </w:p>
    <w:p>
      <w:pPr>
        <w:pStyle w:val="TextBody"/>
        <w:bidi w:val="0"/>
        <w:spacing w:before="0" w:after="0"/>
        <w:ind w:left="0" w:right="0" w:hanging="0"/>
        <w:jc w:val="left"/>
        <w:rPr>
          <w:color w:val="231F20"/>
        </w:rPr>
      </w:pPr>
      <w:r>
        <w:rPr>
          <w:color w:val="231F20"/>
        </w:rPr>
        <w:t>​</w:t>
      </w:r>
    </w:p>
    <w:tbl>
      <w:tblPr>
        <w:tblW w:w="6905" w:type="dxa"/>
        <w:jc w:val="left"/>
        <w:tblInd w:w="0" w:type="dxa"/>
        <w:tblLayout w:type="fixed"/>
        <w:tblCellMar>
          <w:top w:w="0" w:type="dxa"/>
          <w:left w:w="0" w:type="dxa"/>
          <w:bottom w:w="0" w:type="dxa"/>
          <w:right w:w="0" w:type="dxa"/>
        </w:tblCellMar>
      </w:tblPr>
      <w:tblGrid>
        <w:gridCol w:w="3436"/>
        <w:gridCol w:w="346"/>
        <w:gridCol w:w="1546"/>
        <w:gridCol w:w="346"/>
        <w:gridCol w:w="123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81860" cy="175260"/>
                      <wp:effectExtent l="0" t="0" r="0" b="0"/>
                      <wp:wrapNone/>
                      <wp:docPr id="267" name="Frame26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81710" cy="175260"/>
                      <wp:effectExtent l="0" t="0" r="0" b="0"/>
                      <wp:wrapNone/>
                      <wp:docPr id="269" name="Frame26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81685" cy="175260"/>
                      <wp:effectExtent l="0" t="0" r="0" b="0"/>
                      <wp:wrapNone/>
                      <wp:docPr id="271" name="Frame27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Renting deposit receivables-non-current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9,358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22,196</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Prepayment for property and equipment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14,310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67,768</w:t>
            </w:r>
          </w:p>
        </w:tc>
      </w:tr>
      <w:tr>
        <w:trPr/>
        <w:tc>
          <w:tcPr>
            <w:tcW w:w="3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23,668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89,964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055" w:name="Tc_kuvCENmQikaGzYDCWUGRoQ_10_0"/>
      <w:bookmarkStart w:id="1056" w:name="Tc_utvpQvLXIUuoY4f_9biW3w_9_0"/>
      <w:bookmarkStart w:id="1057" w:name="Tc_9UTBRMV2yEmP2RfrIggQ0g_7_0"/>
      <w:bookmarkStart w:id="1058" w:name="Tc_nC7gXFeAvUa6enxsc4twEA_6_0"/>
      <w:bookmarkStart w:id="1059" w:name="Tc_4zruVOepDUuXeP7D2nu5uA_5_0"/>
      <w:bookmarkStart w:id="1060" w:name="Tc_J2BJtaz670KZJ5NLXyBhFw_3_4"/>
      <w:bookmarkStart w:id="1061" w:name="Tc_93zjpBu-20qWiH8zO5jePQ_3_2"/>
      <w:bookmarkStart w:id="1062" w:name="Tc_e854F9yRK0mpgKB1DkpcnQ_2_4"/>
      <w:bookmarkStart w:id="1063" w:name="Tc_nsrpnslGOkO2yjU4REOcLw_2_2"/>
      <w:bookmarkStart w:id="1064" w:name="Tc_Z54SDW0uw0-rF4Pbngzp8Q_1_4"/>
      <w:bookmarkStart w:id="1065" w:name="Tc_FDjdCbsgx0-4BDdRXbqxcg_1_2"/>
      <w:bookmarkStart w:id="1066" w:name="_897432b5_531d_4ad2_ad33_be722fff2cb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b/>
          <w:i w:val="false"/>
          <w:caps w:val="false"/>
          <w:smallCaps w:val="false"/>
          <w:color w:val="231F20"/>
          <w:sz w:val="20"/>
        </w:rPr>
        <w:t>17</w:t>
      </w:r>
      <w:r>
        <w:rPr>
          <w:rFonts w:ascii="Times New Roman;Times;serif" w:hAnsi="Times New Roman;Times;serif"/>
          <w:b/>
          <w:color w:val="231F20"/>
          <w:sz w:val="20"/>
        </w:rPr>
        <w:t>FINANCIAL ASSETS AT FVTPL</w:t>
      </w:r>
    </w:p>
    <w:p>
      <w:pPr>
        <w:pStyle w:val="TextBody"/>
        <w:bidi w:val="0"/>
        <w:spacing w:before="0" w:after="0"/>
        <w:ind w:left="0" w:right="0" w:hanging="0"/>
        <w:jc w:val="left"/>
        <w:rPr/>
      </w:pPr>
      <w:r>
        <w:rPr/>
        <w:t>​</w:t>
      </w:r>
    </w:p>
    <w:tbl>
      <w:tblPr>
        <w:tblW w:w="7130" w:type="dxa"/>
        <w:jc w:val="left"/>
        <w:tblInd w:w="0" w:type="dxa"/>
        <w:tblLayout w:type="fixed"/>
        <w:tblCellMar>
          <w:top w:w="0" w:type="dxa"/>
          <w:left w:w="0" w:type="dxa"/>
          <w:bottom w:w="0" w:type="dxa"/>
          <w:right w:w="0" w:type="dxa"/>
        </w:tblCellMar>
      </w:tblPr>
      <w:tblGrid>
        <w:gridCol w:w="3661"/>
        <w:gridCol w:w="346"/>
        <w:gridCol w:w="1546"/>
        <w:gridCol w:w="346"/>
        <w:gridCol w:w="123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324735" cy="175260"/>
                      <wp:effectExtent l="0" t="0" r="0" b="0"/>
                      <wp:wrapNone/>
                      <wp:docPr id="272" name="Frame27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81710" cy="175260"/>
                      <wp:effectExtent l="0" t="0" r="0" b="0"/>
                      <wp:wrapNone/>
                      <wp:docPr id="274" name="Frame27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81685" cy="175260"/>
                      <wp:effectExtent l="0" t="0" r="0" b="0"/>
                      <wp:wrapNone/>
                      <wp:docPr id="276" name="Frame27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546" w:type="dxa"/>
            <w:tcBorders/>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123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546" w:type="dxa"/>
            <w:tcBorders/>
            <w:vAlign w:val="center"/>
          </w:tcPr>
          <w:p>
            <w:pPr>
              <w:pStyle w:val="TableContents"/>
              <w:bidi w:val="0"/>
              <w:spacing w:before="0" w:after="1"/>
              <w:ind w:left="0" w:right="0" w:hanging="0"/>
              <w:jc w:val="center"/>
              <w:rPr>
                <w:color w:val="231F20"/>
              </w:rPr>
            </w:pPr>
            <w:r>
              <w:rPr>
                <w:color w:val="231F20"/>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231" w:type="dxa"/>
            <w:tcBorders/>
            <w:vAlign w:val="center"/>
          </w:tcPr>
          <w:p>
            <w:pPr>
              <w:pStyle w:val="TableContents"/>
              <w:bidi w:val="0"/>
              <w:spacing w:before="0" w:after="1"/>
              <w:ind w:left="0" w:right="0" w:hanging="0"/>
              <w:jc w:val="center"/>
              <w:rPr>
                <w:color w:val="231F20"/>
              </w:rPr>
            </w:pPr>
            <w:r>
              <w:rPr>
                <w:color w:val="231F20"/>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  ​</w:t>
            </w:r>
          </w:p>
        </w:tc>
      </w:tr>
      <w:tr>
        <w:trPr/>
        <w:tc>
          <w:tcPr>
            <w:tcW w:w="3661" w:type="dxa"/>
            <w:tcBorders/>
            <w:vAlign w:val="center"/>
          </w:tcPr>
          <w:p>
            <w:pPr>
              <w:pStyle w:val="TableContents"/>
              <w:bidi w:val="0"/>
              <w:spacing w:before="0" w:after="1"/>
              <w:ind w:left="0" w:right="0" w:hanging="0"/>
              <w:jc w:val="left"/>
              <w:rPr>
                <w:color w:val="231F20"/>
              </w:rPr>
            </w:pPr>
            <w:r>
              <w:rPr>
                <w:color w:val="231F20"/>
              </w:rPr>
              <w:t xml:space="preserve">– </w:t>
            </w:r>
            <w:r>
              <w:rPr>
                <w:rFonts w:ascii="Times New Roman;Times;serif" w:hAnsi="Times New Roman;Times;serif"/>
                <w:color w:val="231F20"/>
                <w:sz w:val="20"/>
              </w:rPr>
              <w:t xml:space="preserve">Investment in a listed company (Note (i)) </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36,774</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23,015</w:t>
            </w:r>
          </w:p>
        </w:tc>
      </w:tr>
      <w:tr>
        <w:trPr/>
        <w:tc>
          <w:tcPr>
            <w:tcW w:w="3661" w:type="dxa"/>
            <w:tcBorders/>
            <w:shd w:fill="CCEEFF" w:val="clear"/>
            <w:vAlign w:val="center"/>
          </w:tcPr>
          <w:p>
            <w:pPr>
              <w:pStyle w:val="TableContents"/>
              <w:bidi w:val="0"/>
              <w:spacing w:before="0" w:after="1"/>
              <w:ind w:left="0" w:right="0" w:hanging="0"/>
              <w:jc w:val="left"/>
              <w:rPr>
                <w:color w:val="231F20"/>
              </w:rPr>
            </w:pPr>
            <w:r>
              <w:rPr>
                <w:color w:val="231F20"/>
              </w:rPr>
              <w:t xml:space="preserve">– </w:t>
            </w:r>
            <w:r>
              <w:rPr>
                <w:rFonts w:ascii="Times New Roman;Times;serif" w:hAnsi="Times New Roman;Times;serif"/>
                <w:color w:val="231F20"/>
                <w:sz w:val="20"/>
              </w:rPr>
              <w:t>Investment in private funds (Note (ii))</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151,309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229,396</w:t>
            </w:r>
          </w:p>
        </w:tc>
      </w:tr>
      <w:tr>
        <w:trPr/>
        <w:tc>
          <w:tcPr>
            <w:tcW w:w="366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54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188,083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23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252,411</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top w:val="double" w:sz="6"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top w:val="double" w:sz="6" w:space="0" w:color="000000"/>
            </w:tcBorders>
            <w:shd w:fill="CCEEFF" w:val="clear"/>
            <w:tcMar>
              <w:top w:w="28" w:type="dxa"/>
            </w:tcMar>
            <w:vAlign w:val="center"/>
          </w:tcPr>
          <w:p>
            <w:pPr>
              <w:pStyle w:val="TableContents"/>
              <w:bidi w:val="0"/>
              <w:spacing w:before="0" w:after="1"/>
              <w:ind w:left="0" w:right="0" w:hanging="0"/>
              <w:jc w:val="left"/>
              <w:rPr/>
            </w:pPr>
            <w:r>
              <w:rPr/>
              <w:t>​</w:t>
            </w:r>
          </w:p>
        </w:tc>
      </w:tr>
      <w:tr>
        <w:trPr/>
        <w:tc>
          <w:tcPr>
            <w:tcW w:w="3661" w:type="dxa"/>
            <w:tcBorders/>
            <w:vAlign w:val="center"/>
          </w:tcPr>
          <w:p>
            <w:pPr>
              <w:pStyle w:val="TableContents"/>
              <w:bidi w:val="0"/>
              <w:spacing w:before="0" w:after="1"/>
              <w:ind w:left="0" w:right="0" w:hanging="0"/>
              <w:jc w:val="left"/>
              <w:rPr>
                <w:color w:val="231F20"/>
              </w:rPr>
            </w:pPr>
            <w:r>
              <w:rPr>
                <w:color w:val="231F20"/>
              </w:rPr>
              <w:t xml:space="preserve">– </w:t>
            </w:r>
            <w:r>
              <w:rPr>
                <w:rFonts w:ascii="Times New Roman;Times;serif" w:hAnsi="Times New Roman;Times;serif"/>
                <w:color w:val="231F20"/>
                <w:sz w:val="20"/>
              </w:rPr>
              <w:t xml:space="preserve">Non-equity investments (Note (iii))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144,252</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2,293</w:t>
            </w:r>
          </w:p>
        </w:tc>
      </w:tr>
      <w:tr>
        <w:trPr/>
        <w:tc>
          <w:tcPr>
            <w:tcW w:w="366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144,252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2,293</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332,335</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254,704</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Notes: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 2024, the Company purchased 4,416,000</w:t>
            </w:r>
            <w:r>
              <w:rPr>
                <w:caps w:val="false"/>
                <w:smallCaps w:val="false"/>
              </w:rPr>
              <w:t xml:space="preserve"> </w:t>
            </w:r>
            <w:r>
              <w:rPr>
                <w:rFonts w:ascii="Times New Roman;Times;serif" w:hAnsi="Times New Roman;Times;serif"/>
                <w:b w:val="false"/>
                <w:i w:val="false"/>
                <w:caps w:val="false"/>
                <w:smallCaps w:val="false"/>
                <w:sz w:val="16"/>
              </w:rPr>
              <w:t>ordinary shares of a listed company with a total consideration of US$20.0</w:t>
            </w:r>
            <w:r>
              <w:rPr>
                <w:caps w:val="false"/>
                <w:smallCaps w:val="false"/>
              </w:rPr>
              <w:t xml:space="preserve"> </w:t>
            </w:r>
            <w:r>
              <w:rPr>
                <w:rFonts w:ascii="Times New Roman;Times;serif" w:hAnsi="Times New Roman;Times;serif"/>
                <w:b w:val="false"/>
                <w:i w:val="false"/>
                <w:caps w:val="false"/>
                <w:smallCaps w:val="false"/>
                <w:sz w:val="16"/>
              </w:rPr>
              <w:t>million, or US$4.53</w:t>
            </w:r>
            <w:r>
              <w:rPr>
                <w:caps w:val="false"/>
                <w:smallCaps w:val="false"/>
              </w:rPr>
              <w:t xml:space="preserve"> </w:t>
            </w:r>
            <w:r>
              <w:rPr>
                <w:rFonts w:ascii="Times New Roman;Times;serif" w:hAnsi="Times New Roman;Times;serif"/>
                <w:b w:val="false"/>
                <w:i w:val="false"/>
                <w:caps w:val="false"/>
                <w:smallCaps w:val="false"/>
                <w:sz w:val="16"/>
              </w:rPr>
              <w:t>per share. The investment was initially recorded at US$20.0</w:t>
            </w:r>
            <w:r>
              <w:rPr>
                <w:caps w:val="false"/>
                <w:smallCaps w:val="false"/>
              </w:rPr>
              <w:t xml:space="preserve"> </w:t>
            </w:r>
            <w:r>
              <w:rPr>
                <w:rFonts w:ascii="Times New Roman;Times;serif" w:hAnsi="Times New Roman;Times;serif"/>
                <w:b w:val="false"/>
                <w:i w:val="false"/>
                <w:caps w:val="false"/>
                <w:smallCaps w:val="false"/>
                <w:sz w:val="16"/>
              </w:rPr>
              <w:t>million (equivalent to RMB138.7</w:t>
            </w:r>
            <w:r>
              <w:rPr>
                <w:caps w:val="false"/>
                <w:smallCaps w:val="false"/>
              </w:rPr>
              <w:t xml:space="preserve"> </w:t>
            </w:r>
            <w:r>
              <w:rPr>
                <w:rFonts w:ascii="Times New Roman;Times;serif" w:hAnsi="Times New Roman;Times;serif"/>
                <w:b w:val="false"/>
                <w:i w:val="false"/>
                <w:caps w:val="false"/>
                <w:smallCaps w:val="false"/>
                <w:sz w:val="16"/>
              </w:rPr>
              <w:t>million) and subsequently measured at fair value. The Company recognized a loss of US$ 1.9</w:t>
            </w:r>
            <w:r>
              <w:rPr>
                <w:caps w:val="false"/>
                <w:smallCaps w:val="false"/>
              </w:rPr>
              <w:t xml:space="preserve"> </w:t>
            </w:r>
            <w:r>
              <w:rPr>
                <w:rFonts w:ascii="Times New Roman;Times;serif" w:hAnsi="Times New Roman;Times;serif"/>
                <w:b w:val="false"/>
                <w:i w:val="false"/>
                <w:caps w:val="false"/>
                <w:smallCaps w:val="false"/>
                <w:sz w:val="16"/>
              </w:rPr>
              <w:t>million (equivalent to RMB12.8</w:t>
            </w:r>
            <w:r>
              <w:rPr>
                <w:caps w:val="false"/>
                <w:smallCaps w:val="false"/>
              </w:rPr>
              <w:t xml:space="preserve"> </w:t>
            </w:r>
            <w:r>
              <w:rPr>
                <w:rFonts w:ascii="Times New Roman;Times;serif" w:hAnsi="Times New Roman;Times;serif"/>
                <w:b w:val="false"/>
                <w:i w:val="false"/>
                <w:caps w:val="false"/>
                <w:smallCaps w:val="false"/>
                <w:sz w:val="16"/>
              </w:rPr>
              <w:t>million) relating to this investment in fair value changes for the six months ended June 30, 2026.</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 2025, the Group invested in two</w:t>
            </w:r>
            <w:r>
              <w:rPr>
                <w:caps w:val="false"/>
                <w:smallCaps w:val="false"/>
              </w:rPr>
              <w:t xml:space="preserve"> </w:t>
            </w:r>
            <w:r>
              <w:rPr>
                <w:rFonts w:ascii="Times New Roman;Times;serif" w:hAnsi="Times New Roman;Times;serif"/>
                <w:b w:val="false"/>
                <w:i w:val="false"/>
                <w:caps w:val="false"/>
                <w:smallCaps w:val="false"/>
                <w:sz w:val="16"/>
              </w:rPr>
              <w:t>private funds in Chinese Mainland with total consideration of RMB81.9</w:t>
            </w:r>
            <w:r>
              <w:rPr>
                <w:caps w:val="false"/>
                <w:smallCaps w:val="false"/>
              </w:rPr>
              <w:t xml:space="preserve"> </w:t>
            </w:r>
            <w:r>
              <w:rPr>
                <w:rFonts w:ascii="Times New Roman;Times;serif" w:hAnsi="Times New Roman;Times;serif"/>
                <w:b w:val="false"/>
                <w:i w:val="false"/>
                <w:caps w:val="false"/>
                <w:smallCaps w:val="false"/>
                <w:sz w:val="16"/>
              </w:rPr>
              <w:t>million and one</w:t>
            </w:r>
            <w:r>
              <w:rPr>
                <w:caps w:val="false"/>
                <w:smallCaps w:val="false"/>
              </w:rPr>
              <w:t xml:space="preserve"> </w:t>
            </w:r>
            <w:r>
              <w:rPr>
                <w:rFonts w:ascii="Times New Roman;Times;serif" w:hAnsi="Times New Roman;Times;serif"/>
                <w:b w:val="false"/>
                <w:i w:val="false"/>
                <w:caps w:val="false"/>
                <w:smallCaps w:val="false"/>
                <w:sz w:val="16"/>
              </w:rPr>
              <w:t>overseas private fund with consideration of US$10.0</w:t>
            </w:r>
            <w:r>
              <w:rPr>
                <w:caps w:val="false"/>
                <w:smallCaps w:val="false"/>
              </w:rPr>
              <w:t xml:space="preserve"> </w:t>
            </w:r>
            <w:r>
              <w:rPr>
                <w:rFonts w:ascii="Times New Roman;Times;serif" w:hAnsi="Times New Roman;Times;serif"/>
                <w:b w:val="false"/>
                <w:i w:val="false"/>
                <w:caps w:val="false"/>
                <w:smallCaps w:val="false"/>
                <w:sz w:val="16"/>
              </w:rPr>
              <w:t>million (equivalent to RMB70.3</w:t>
            </w:r>
            <w:r>
              <w:rPr>
                <w:caps w:val="false"/>
                <w:smallCaps w:val="false"/>
              </w:rPr>
              <w:t xml:space="preserve"> </w:t>
            </w:r>
            <w:r>
              <w:rPr>
                <w:rFonts w:ascii="Times New Roman;Times;serif" w:hAnsi="Times New Roman;Times;serif"/>
                <w:b w:val="false"/>
                <w:i w:val="false"/>
                <w:caps w:val="false"/>
                <w:smallCaps w:val="false"/>
                <w:sz w:val="16"/>
              </w:rPr>
              <w:t>million), respectively. In January 2026, the Group further invested in the two</w:t>
            </w:r>
            <w:r>
              <w:rPr>
                <w:caps w:val="false"/>
                <w:smallCaps w:val="false"/>
              </w:rPr>
              <w:t xml:space="preserve"> </w:t>
            </w:r>
            <w:r>
              <w:rPr>
                <w:rFonts w:ascii="Times New Roman;Times;serif" w:hAnsi="Times New Roman;Times;serif"/>
                <w:b w:val="false"/>
                <w:i w:val="false"/>
                <w:caps w:val="false"/>
                <w:smallCaps w:val="false"/>
                <w:sz w:val="16"/>
              </w:rPr>
              <w:t>private funds in Chinese Mainland with additional injection of RMB11.5</w:t>
            </w:r>
            <w:r>
              <w:rPr>
                <w:caps w:val="false"/>
                <w:smallCaps w:val="false"/>
              </w:rPr>
              <w:t xml:space="preserve"> </w:t>
            </w:r>
            <w:r>
              <w:rPr>
                <w:rFonts w:ascii="Times New Roman;Times;serif" w:hAnsi="Times New Roman;Times;serif"/>
                <w:b w:val="false"/>
                <w:i w:val="false"/>
                <w:caps w:val="false"/>
                <w:smallCaps w:val="false"/>
                <w:sz w:val="16"/>
              </w:rPr>
              <w:t>million and RMB43.1</w:t>
            </w:r>
            <w:r>
              <w:rPr>
                <w:caps w:val="false"/>
                <w:smallCaps w:val="false"/>
              </w:rPr>
              <w:t xml:space="preserve"> </w:t>
            </w:r>
            <w:r>
              <w:rPr>
                <w:rFonts w:ascii="Times New Roman;Times;serif" w:hAnsi="Times New Roman;Times;serif"/>
                <w:b w:val="false"/>
                <w:i w:val="false"/>
                <w:caps w:val="false"/>
                <w:smallCaps w:val="false"/>
                <w:sz w:val="16"/>
              </w:rPr>
              <w:t>million, respectively, and invested another new overseas private fund, with total consideration of US$2.9</w:t>
            </w:r>
            <w:r>
              <w:rPr>
                <w:caps w:val="false"/>
                <w:smallCaps w:val="false"/>
              </w:rPr>
              <w:t xml:space="preserve"> </w:t>
            </w:r>
            <w:r>
              <w:rPr>
                <w:rFonts w:ascii="Times New Roman;Times;serif" w:hAnsi="Times New Roman;Times;serif"/>
                <w:b w:val="false"/>
                <w:i w:val="false"/>
                <w:caps w:val="false"/>
                <w:smallCaps w:val="false"/>
                <w:sz w:val="16"/>
              </w:rPr>
              <w:t>million (equivalent to RMB20.0</w:t>
            </w:r>
            <w:r>
              <w:rPr>
                <w:caps w:val="false"/>
                <w:smallCaps w:val="false"/>
              </w:rPr>
              <w:t xml:space="preserve"> </w:t>
            </w:r>
            <w:r>
              <w:rPr>
                <w:rFonts w:ascii="Times New Roman;Times;serif" w:hAnsi="Times New Roman;Times;serif"/>
                <w:b w:val="false"/>
                <w:i w:val="false"/>
                <w:caps w:val="false"/>
                <w:smallCaps w:val="false"/>
                <w:sz w:val="16"/>
              </w:rPr>
              <w:t>million). The Group did not have any control over these funds and these investments were measured at fair value with changes recorded through profit or loss, which was inconsequential for the six months ended June 30, 2026.</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(iii)</w:t>
            </w:r>
          </w:p>
        </w:tc>
        <w:tc>
          <w:tcPr>
            <w:tcW w:w="98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recorded through profit or loss.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Please see more information about the fair value valuation in Note 25.</w:t>
      </w:r>
    </w:p>
    <w:p>
      <w:pPr>
        <w:pStyle w:val="TextBody"/>
        <w:bidi w:val="0"/>
        <w:spacing w:before="0" w:after="0"/>
        <w:ind w:left="0" w:right="0" w:hanging="0"/>
        <w:jc w:val="left"/>
        <w:rPr>
          <w:rFonts w:ascii="Times New Roman;Times;serif" w:hAnsi="Times New Roman;Times;serif"/>
          <w:b/>
          <w:sz w:val="20"/>
        </w:rPr>
      </w:pPr>
      <w:bookmarkStart w:id="1067" w:name="Tc_VHEiPvkrzkmYNFnrNVkfkw_6_0"/>
      <w:bookmarkStart w:id="1068" w:name="Tc_P9brKHuGK0aVuVQC71yE1Q_5_0"/>
      <w:bookmarkStart w:id="1069" w:name="Tc_7IeQ50plZE6wuzBeyJSwAQ_3_4"/>
      <w:bookmarkStart w:id="1070" w:name="Tc_QMYrKgtR80ylLPN_hXKtyw_3_2"/>
      <w:bookmarkStart w:id="1071" w:name="Tc_hw37YzryMkibJx7Uri7sUA_2_4"/>
      <w:bookmarkStart w:id="1072" w:name="Tc_X3h01yV01UqgyDn-NdvQ9g_2_2"/>
      <w:bookmarkStart w:id="1073" w:name="Tc_5EB1DR5EckunStHIdnF5SA_1_4"/>
      <w:bookmarkStart w:id="1074" w:name="Tc_UUbqSJPaO0SB8Yp9aCcAiw_1_2"/>
      <w:bookmarkStart w:id="1075" w:name="_0aafe700_2366_4f19_a5f2_147cab1c04bf"/>
      <w:bookmarkEnd w:id="1067"/>
      <w:bookmarkEnd w:id="1068"/>
      <w:bookmarkEnd w:id="1069"/>
      <w:bookmarkEnd w:id="1070"/>
      <w:bookmarkEnd w:id="1071"/>
      <w:bookmarkEnd w:id="1072"/>
      <w:bookmarkEnd w:id="1073"/>
      <w:bookmarkEnd w:id="1074"/>
      <w:bookmarkEnd w:id="1075"/>
      <w:r>
        <w:rPr>
          <w:rFonts w:ascii="Times New Roman;Times;serif" w:hAnsi="Times New Roman;Times;serif"/>
          <w:b/>
          <w:i w:val="false"/>
          <w:caps w:val="false"/>
          <w:smallCaps w:val="false"/>
          <w:sz w:val="20"/>
        </w:rPr>
        <w:t>18</w:t>
      </w:r>
      <w:r>
        <w:rPr>
          <w:rFonts w:ascii="Times New Roman;Times;serif" w:hAnsi="Times New Roman;Times;serif"/>
          <w:b/>
          <w:sz w:val="20"/>
        </w:rPr>
        <w:t>CASH, CASH EQUIVALENTS AND TIME DEPOSITS</w:t>
      </w:r>
    </w:p>
    <w:p>
      <w:pPr>
        <w:pStyle w:val="TextBody"/>
        <w:bidi w:val="0"/>
        <w:spacing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2266"/>
        <w:gridCol w:w="346"/>
        <w:gridCol w:w="1546"/>
        <w:gridCol w:w="346"/>
        <w:gridCol w:w="123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38910" cy="175260"/>
                      <wp:effectExtent l="0" t="0" r="0" b="0"/>
                      <wp:wrapNone/>
                      <wp:docPr id="277" name="Frame27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81710" cy="175260"/>
                      <wp:effectExtent l="0" t="0" r="0" b="0"/>
                      <wp:wrapNone/>
                      <wp:docPr id="279" name="Frame27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81685" cy="175260"/>
                      <wp:effectExtent l="0" t="0" r="0" b="0"/>
                      <wp:wrapNone/>
                      <wp:docPr id="281" name="Frame28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1"/>
              <w:ind w:left="0" w:right="0" w:hanging="0"/>
              <w:jc w:val="left"/>
              <w:rPr/>
            </w:pPr>
            <w:r>
              <w:rPr/>
              <w:t>  ​ ​ ​</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6,666,304</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4,275,014</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301,401</w:t>
            </w:r>
          </w:p>
        </w:tc>
        <w:tc>
          <w:tcPr>
            <w:tcW w:w="346" w:type="dxa"/>
            <w:tcBorders/>
            <w:vAlign w:val="center"/>
          </w:tcPr>
          <w:p>
            <w:pPr>
              <w:pStyle w:val="TableContents"/>
              <w:bidi w:val="0"/>
              <w:spacing w:before="0" w:after="1"/>
              <w:ind w:left="0" w:right="0" w:hanging="0"/>
              <w:jc w:val="left"/>
              <w:rPr/>
            </w:pPr>
            <w:r>
              <w:rPr/>
              <w:t> </w:t>
            </w:r>
          </w:p>
        </w:tc>
        <w:tc>
          <w:tcPr>
            <w:tcW w:w="12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1,099,805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RMB is not a freely convertible currency and the remittance of funds out of the PRC is subject to the exchange restrictions imposed by the PRC government. The Group’s time deposits are denominated in USD or RMB and are deposited with banks and other financial institutions in Chinese Mainland and overseas.</w:t>
      </w:r>
    </w:p>
    <w:p>
      <w:pPr>
        <w:pStyle w:val="TextBody"/>
        <w:bidi w:val="0"/>
        <w:spacing w:before="0" w:after="0"/>
        <w:ind w:left="0" w:right="0" w:hanging="0"/>
        <w:jc w:val="left"/>
        <w:rPr>
          <w:color w:val="231F20"/>
        </w:rPr>
      </w:pPr>
      <w:r>
        <w:rPr>
          <w:color w:val="231F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076" w:name="Tc_4x8RSlip9EWiul84hrmJAQ_7_0"/>
      <w:bookmarkStart w:id="1077" w:name="Tc_itJqZQW9H0uJC_9zdqZzyA_6_2"/>
      <w:bookmarkStart w:id="1078" w:name="Tc_jiVoFTojt0KvJLfFYpWIfQ_6_0"/>
      <w:bookmarkStart w:id="1079" w:name="Tc_TYolPuvkmUWTkQy2idPFeQ_5_4"/>
      <w:bookmarkStart w:id="1080" w:name="Tc_xw5ZgSxBPE-q-0WDTiPU1A_5_0"/>
      <w:bookmarkStart w:id="1081" w:name="Tc_xC-jlSwJzUKgPyJnLDjHfw_4_0"/>
      <w:bookmarkStart w:id="1082" w:name="Tc_j54-optmP0Om7aOIkwTsoA_3_4"/>
      <w:bookmarkStart w:id="1083" w:name="Tc_BVwKBxrFfECeV3P-osB-fA_3_2"/>
      <w:bookmarkStart w:id="1084" w:name="Tc_O1V6QgBjNkC1n3bk7ffLLQ_2_4"/>
      <w:bookmarkStart w:id="1085" w:name="Tc_WTOlHamNakWM4LRb3MaqwA_2_2"/>
      <w:bookmarkStart w:id="1086" w:name="Tc_NMhfbeyjGEq1w0Cad70DEQ_1_2"/>
      <w:bookmarkStart w:id="1087" w:name="_06155b7d_db4c_433a_992e_92ff8e7f47dd"/>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i w:val="false"/>
          <w:caps w:val="false"/>
          <w:smallCaps w:val="false"/>
          <w:color w:val="231F20"/>
          <w:sz w:val="20"/>
        </w:rPr>
        <w:t>19</w:t>
      </w:r>
      <w:r>
        <w:rPr>
          <w:rFonts w:ascii="Times New Roman;Times;serif" w:hAnsi="Times New Roman;Times;serif"/>
          <w:b/>
          <w:color w:val="231F20"/>
          <w:sz w:val="20"/>
        </w:rPr>
        <w:t>PUT OPTION LIABILITIES</w:t>
      </w:r>
    </w:p>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In July 2019, WeRide Hong Kong Ltd. (“WeRide HK”) and Guangzhou Jingqi Technology Co., Ltd. entered into an agreement with two investors. Pursuant to the agreement, 1) WeRide HK, Guangzhou Jingqi and the investors together established a new company, Wenyuan Yuexing (Guangdong) Travel Technology Co., Ltd. (“Wenyuan Yuexing”) in which the Group has control; 2) the investors injected capital of RMB36.0 million and RMB28.8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 Based on negotiation between the Group and one of the investors, the Group redeemed 15% and 5% equity interest from one of the investors in September 2021 and April 2026, respectively.</w:t>
      </w:r>
    </w:p>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movements of the put option liabilities during the period presented are set out as below:</w:t>
      </w:r>
    </w:p>
    <w:p>
      <w:pPr>
        <w:pStyle w:val="TextBody"/>
        <w:bidi w:val="0"/>
        <w:spacing w:before="0" w:after="0"/>
        <w:ind w:left="0" w:right="0" w:hanging="0"/>
        <w:jc w:val="left"/>
        <w:rPr>
          <w:color w:val="231F20"/>
        </w:rPr>
      </w:pPr>
      <w:r>
        <w:rPr>
          <w:color w:val="231F20"/>
        </w:rPr>
        <w:t>​</w:t>
      </w:r>
    </w:p>
    <w:tbl>
      <w:tblPr>
        <w:tblW w:w="6092" w:type="dxa"/>
        <w:jc w:val="left"/>
        <w:tblInd w:w="0" w:type="dxa"/>
        <w:tblLayout w:type="fixed"/>
        <w:tblCellMar>
          <w:top w:w="0" w:type="dxa"/>
          <w:left w:w="0" w:type="dxa"/>
          <w:bottom w:w="0" w:type="dxa"/>
          <w:right w:w="0" w:type="dxa"/>
        </w:tblCellMar>
      </w:tblPr>
      <w:tblGrid>
        <w:gridCol w:w="3121"/>
        <w:gridCol w:w="346"/>
        <w:gridCol w:w="1046"/>
        <w:gridCol w:w="454"/>
        <w:gridCol w:w="1125"/>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981835" cy="175260"/>
                      <wp:effectExtent l="0" t="0" r="0" b="0"/>
                      <wp:wrapNone/>
                      <wp:docPr id="282" name="Frame281"/>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64210" cy="175260"/>
                      <wp:effectExtent l="0" t="0" r="0" b="0"/>
                      <wp:wrapNone/>
                      <wp:docPr id="284" name="Frame28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88290" cy="175260"/>
                      <wp:effectExtent l="0" t="0" r="0" b="0"/>
                      <wp:wrapNone/>
                      <wp:docPr id="285" name="Frame284"/>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14375" cy="175260"/>
                      <wp:effectExtent l="0" t="0" r="0" b="0"/>
                      <wp:wrapNone/>
                      <wp:docPr id="286" name="Frame285"/>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6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six months ended June 30,</w: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454"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0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454" w:type="dxa"/>
            <w:tcBorders/>
            <w:vAlign w:val="center"/>
          </w:tcPr>
          <w:p>
            <w:pPr>
              <w:pStyle w:val="TableContents"/>
              <w:bidi w:val="0"/>
              <w:spacing w:before="0" w:after="0"/>
              <w:ind w:left="0" w:right="0" w:hanging="0"/>
              <w:jc w:val="left"/>
              <w:rPr/>
            </w:pPr>
            <w:r>
              <w:rPr/>
              <w:t>  ​ ​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As of January 1</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41,099</w:t>
            </w:r>
          </w:p>
        </w:tc>
        <w:tc>
          <w:tcPr>
            <w:tcW w:w="4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43,300</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Changes in carrying amount (Note 7)</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325</w:t>
            </w:r>
          </w:p>
        </w:tc>
        <w:tc>
          <w:tcPr>
            <w:tcW w:w="454"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Repayment for put option liabilities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olor w:val="231F20"/>
              </w:rPr>
            </w:pPr>
            <w:r>
              <w:rPr>
                <w:color w:val="231F20"/>
              </w:rPr>
              <w:t>—</w:t>
            </w:r>
          </w:p>
        </w:tc>
        <w:tc>
          <w:tcPr>
            <w:tcW w:w="454" w:type="dxa"/>
            <w:tcBorders/>
            <w:shd w:fill="CCEEFF" w:val="clear"/>
            <w:vAlign w:val="center"/>
          </w:tcPr>
          <w:p>
            <w:pPr>
              <w:pStyle w:val="TableContents"/>
              <w:bidi w:val="0"/>
              <w:spacing w:before="0" w:after="0"/>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(11,619)</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As of June 30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0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41,424</w:t>
            </w:r>
          </w:p>
        </w:tc>
        <w:tc>
          <w:tcPr>
            <w:tcW w:w="454" w:type="dxa"/>
            <w:tcBorders/>
            <w:vAlign w:val="center"/>
          </w:tcPr>
          <w:p>
            <w:pPr>
              <w:pStyle w:val="TableContents"/>
              <w:bidi w:val="0"/>
              <w:spacing w:before="0" w:after="0"/>
              <w:ind w:left="0" w:right="0" w:hanging="0"/>
              <w:jc w:val="left"/>
              <w:rPr/>
            </w:pPr>
            <w:r>
              <w:rPr/>
              <w:t> </w:t>
            </w:r>
          </w:p>
        </w:tc>
        <w:tc>
          <w:tcPr>
            <w:tcW w:w="112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31,681</w:t>
            </w:r>
          </w:p>
        </w:tc>
      </w:tr>
    </w:tbl>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left"/>
        <w:rPr>
          <w:rFonts w:ascii="Times New Roman;Times;serif" w:hAnsi="Times New Roman;Times;serif"/>
          <w:sz w:val="20"/>
        </w:rPr>
      </w:pPr>
      <w:bookmarkStart w:id="1088" w:name="Tc_jiCroc2C6U2uaqhrA9DykA_5_0"/>
      <w:bookmarkStart w:id="1089" w:name="Tc_kf-24GIcB0GLL7BT2YWg4Q_4_4"/>
      <w:bookmarkStart w:id="1090" w:name="Tc_nF_hHPg59kSnA4llqXPdYg_4_2"/>
      <w:bookmarkStart w:id="1091" w:name="Tc_odr7a1uT5ES8N9tzRjrdgw_3_4"/>
      <w:bookmarkStart w:id="1092" w:name="Tc_T1FRYg9dWU67xAEvvDkGWQ_3_2"/>
      <w:bookmarkStart w:id="1093" w:name="Tc_OJE6ZFB3e0m_yNu68XAIww_2_4"/>
      <w:bookmarkStart w:id="1094" w:name="Tc_jtZye8y6jEKCB74I4GCi8w_2_2"/>
      <w:bookmarkStart w:id="1095" w:name="Tc_d3WkjlYu_ka-ja-VSSiMUg_1_4"/>
      <w:bookmarkStart w:id="1096" w:name="Tc_sMLL3eSp6E-81nIzoAfekw_1_2"/>
      <w:bookmarkStart w:id="1097" w:name="_e5023003_9e34_4f54_93ab_e6df54b1e0ea"/>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b/>
          <w:i w:val="false"/>
          <w:caps w:val="false"/>
          <w:smallCaps w:val="false"/>
          <w:color w:val="231F20"/>
          <w:sz w:val="20"/>
        </w:rPr>
        <w:t>20</w:t>
      </w:r>
      <w:r>
        <w:rPr>
          <w:rFonts w:ascii="Times New Roman;Times;serif" w:hAnsi="Times New Roman;Times;serif"/>
          <w:b/>
          <w:color w:val="231F20"/>
          <w:sz w:val="20"/>
        </w:rPr>
        <w:t>OTHER NON-CURRENT LIABILITIES</w:t>
      </w:r>
    </w:p>
    <w:p>
      <w:pPr>
        <w:pStyle w:val="TextBody"/>
        <w:bidi w:val="0"/>
        <w:spacing w:before="0" w:after="0"/>
        <w:ind w:left="0" w:right="0" w:hanging="0"/>
        <w:jc w:val="left"/>
        <w:rPr>
          <w:color w:val="231F20"/>
        </w:rPr>
      </w:pPr>
      <w:r>
        <w:rPr>
          <w:color w:val="231F20"/>
        </w:rPr>
        <w:t>​</w:t>
      </w:r>
    </w:p>
    <w:tbl>
      <w:tblPr>
        <w:tblW w:w="6350" w:type="dxa"/>
        <w:jc w:val="left"/>
        <w:tblInd w:w="0" w:type="dxa"/>
        <w:tblLayout w:type="fixed"/>
        <w:tblCellMar>
          <w:top w:w="0" w:type="dxa"/>
          <w:left w:w="0" w:type="dxa"/>
          <w:bottom w:w="0" w:type="dxa"/>
          <w:right w:w="0" w:type="dxa"/>
        </w:tblCellMar>
      </w:tblPr>
      <w:tblGrid>
        <w:gridCol w:w="3721"/>
        <w:gridCol w:w="346"/>
        <w:gridCol w:w="1081"/>
        <w:gridCol w:w="346"/>
        <w:gridCol w:w="85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62835" cy="175260"/>
                      <wp:effectExtent l="0" t="0" r="0" b="0"/>
                      <wp:wrapNone/>
                      <wp:docPr id="287" name="Frame28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86435" cy="175260"/>
                      <wp:effectExtent l="0" t="0" r="0" b="0"/>
                      <wp:wrapNone/>
                      <wp:docPr id="289" name="Frame2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43560" cy="175260"/>
                      <wp:effectExtent l="0" t="0" r="0" b="0"/>
                      <wp:wrapNone/>
                      <wp:docPr id="291" name="Frame29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2025 </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grants received with conditions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24,994</w:t>
            </w:r>
          </w:p>
        </w:tc>
      </w:tr>
    </w:tbl>
    <w:p>
      <w:pPr>
        <w:pStyle w:val="TextBody"/>
        <w:bidi w:val="0"/>
        <w:spacing w:before="0" w:after="0"/>
        <w:ind w:left="0" w:right="0" w:hanging="0"/>
        <w:jc w:val="left"/>
        <w:rPr>
          <w:color w:val="231F20"/>
        </w:rPr>
      </w:pPr>
      <w:r>
        <w:rPr>
          <w:color w:val="231F20"/>
        </w:rPr>
        <w:t>​</w:t>
      </w:r>
    </w:p>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 xml:space="preserve">The Group was awarded grants from governments with conditions attached in the next few years. The government grants with conditions expected to be satisfied in more than one year are presented as non-current liabilities, which will be released to other income in the consolidated statement of profit or loss when the conditions attached are satisfied. </w:t>
      </w:r>
    </w:p>
    <w:p>
      <w:pPr>
        <w:pStyle w:val="TextBody"/>
        <w:bidi w:val="0"/>
        <w:spacing w:before="0" w:after="0"/>
        <w:ind w:left="0" w:right="0" w:hanging="0"/>
        <w:jc w:val="left"/>
        <w:rPr>
          <w:color w:val="231F20"/>
        </w:rPr>
      </w:pPr>
      <w:r>
        <w:rPr>
          <w:color w:val="231F20"/>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98" w:name="Tc_J1q8lRqVBUWgsioufiibgQ_11_0"/>
      <w:bookmarkStart w:id="1099" w:name="Tc_TXOlr-N9VkCezqV3FJznTw_10_0"/>
      <w:bookmarkStart w:id="1100" w:name="Tc_OtshF2CwhkevVkmYuS3fAg_9_0"/>
      <w:bookmarkStart w:id="1101" w:name="Tc_IY6bLabz-kmu-GPOOTDbAA_8_0"/>
      <w:bookmarkStart w:id="1102" w:name="Tc_0i_LglqSvUuOKhDIB_DI6Q_7_0"/>
      <w:bookmarkStart w:id="1103" w:name="Tc_QH-vzTuZxk6y5zjoJwgwnA_6_0"/>
      <w:bookmarkStart w:id="1104" w:name="Tc_t-p5Zy_uiE6Uu-zEQs64tQ_4_0"/>
      <w:bookmarkStart w:id="1105" w:name="Tc_GtzyQxZENkOkBZCVIOrJBA_3_4"/>
      <w:bookmarkStart w:id="1106" w:name="Tc_8CdbN6j0Mk6ZI1YatL5UOg_3_2"/>
      <w:bookmarkStart w:id="1107" w:name="Tc_1KgxERpNbUSiHsTJCrfxDQ_2_4"/>
      <w:bookmarkStart w:id="1108" w:name="Tc_RToNTg675EmfAL4QJguWMQ_2_2"/>
      <w:bookmarkStart w:id="1109" w:name="Tc_BDRuBuGrFEqSBtuiRhDwQA_1_4"/>
      <w:bookmarkStart w:id="1110" w:name="Tc_uUF_BFSdD0CqTqekWkQrig_1_2"/>
      <w:bookmarkStart w:id="1111" w:name="_63b693ec_e2a4_4c2a_8fdf_817d31dbf7cc"/>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b/>
          <w:i w:val="false"/>
          <w:caps w:val="false"/>
          <w:smallCaps w:val="false"/>
          <w:sz w:val="20"/>
        </w:rPr>
        <w:t>21</w:t>
      </w:r>
      <w:r>
        <w:rPr>
          <w:rFonts w:ascii="Times New Roman;Times;serif" w:hAnsi="Times New Roman;Times;serif"/>
          <w:b/>
          <w:sz w:val="20"/>
        </w:rPr>
        <w:t>TRADE AND OTHER PAYABLES, DEPOSITS RECEIVED AND ACCRUED EXPENSES</w:t>
      </w:r>
    </w:p>
    <w:p>
      <w:pPr>
        <w:pStyle w:val="TextBody"/>
        <w:bidi w:val="0"/>
        <w:spacing w:before="0" w:after="0"/>
        <w:ind w:left="0" w:right="0" w:hanging="0"/>
        <w:jc w:val="left"/>
        <w:rPr/>
      </w:pPr>
      <w:r>
        <w:rPr/>
        <w:t>​</w:t>
      </w:r>
    </w:p>
    <w:tbl>
      <w:tblPr>
        <w:tblW w:w="9155" w:type="dxa"/>
        <w:jc w:val="left"/>
        <w:tblInd w:w="0" w:type="dxa"/>
        <w:tblLayout w:type="fixed"/>
        <w:tblCellMar>
          <w:top w:w="0" w:type="dxa"/>
          <w:left w:w="0" w:type="dxa"/>
          <w:bottom w:w="0" w:type="dxa"/>
          <w:right w:w="0" w:type="dxa"/>
        </w:tblCellMar>
      </w:tblPr>
      <w:tblGrid>
        <w:gridCol w:w="5686"/>
        <w:gridCol w:w="346"/>
        <w:gridCol w:w="1546"/>
        <w:gridCol w:w="346"/>
        <w:gridCol w:w="1231"/>
      </w:tblGrid>
      <w:tr>
        <w:trPr/>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10610" cy="175260"/>
                      <wp:effectExtent l="0" t="0" r="0" b="0"/>
                      <wp:wrapNone/>
                      <wp:docPr id="292" name="Frame291"/>
                      <a:graphic xmlns:a="http://schemas.openxmlformats.org/drawingml/2006/main">
                        <a:graphicData uri="http://schemas.microsoft.com/office/word/2010/wordprocessingShape">
                          <wps:wsp>
                            <wps:cNvSpPr txBox="1"/>
                            <wps:spPr>
                              <a:xfrm>
                                <a:off x="0" y="0"/>
                                <a:ext cx="3610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81710" cy="175260"/>
                      <wp:effectExtent l="0" t="0" r="0" b="0"/>
                      <wp:wrapNone/>
                      <wp:docPr id="294" name="Frame29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81685" cy="175260"/>
                      <wp:effectExtent l="0" t="0" r="0" b="0"/>
                      <wp:wrapNone/>
                      <wp:docPr id="296" name="Frame29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5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5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Trade payables </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163,000</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243,563</w:t>
            </w:r>
          </w:p>
        </w:tc>
      </w:tr>
      <w:tr>
        <w:trPr/>
        <w:tc>
          <w:tcPr>
            <w:tcW w:w="5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r>
      <w:tr>
        <w:trPr/>
        <w:tc>
          <w:tcPr>
            <w:tcW w:w="5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 received with conditions*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192,019</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189,269</w:t>
            </w:r>
          </w:p>
        </w:tc>
      </w:tr>
      <w:tr>
        <w:trPr/>
        <w:tc>
          <w:tcPr>
            <w:tcW w:w="5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social insurance</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118,413</w:t>
            </w:r>
          </w:p>
        </w:tc>
        <w:tc>
          <w:tcPr>
            <w:tcW w:w="34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112,414</w:t>
            </w:r>
          </w:p>
        </w:tc>
      </w:tr>
      <w:tr>
        <w:trPr/>
        <w:tc>
          <w:tcPr>
            <w:tcW w:w="5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Payables for professional services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49,413</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19,646</w:t>
            </w:r>
          </w:p>
        </w:tc>
      </w:tr>
      <w:tr>
        <w:trPr/>
        <w:tc>
          <w:tcPr>
            <w:tcW w:w="5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payable and others</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48,512</w:t>
            </w:r>
          </w:p>
        </w:tc>
        <w:tc>
          <w:tcPr>
            <w:tcW w:w="346" w:type="dxa"/>
            <w:tcBorders/>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63,759</w:t>
            </w:r>
          </w:p>
        </w:tc>
      </w:tr>
      <w:tr>
        <w:trPr/>
        <w:tc>
          <w:tcPr>
            <w:tcW w:w="5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payables, deposits received and accrued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408,357</w:t>
            </w:r>
          </w:p>
        </w:tc>
        <w:tc>
          <w:tcPr>
            <w:tcW w:w="346" w:type="dxa"/>
            <w:tcBorders/>
            <w:shd w:fill="CCEEFF" w:val="clear"/>
            <w:vAlign w:val="center"/>
          </w:tcPr>
          <w:p>
            <w:pPr>
              <w:pStyle w:val="TableContents"/>
              <w:bidi w:val="0"/>
              <w:spacing w:before="0" w:after="1"/>
              <w:ind w:left="0" w:right="0" w:hanging="0"/>
              <w:jc w:val="left"/>
              <w:rPr/>
            </w:pPr>
            <w:r>
              <w:rPr/>
              <w:t> </w:t>
            </w:r>
          </w:p>
        </w:tc>
        <w:tc>
          <w:tcPr>
            <w:tcW w:w="1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385,088</w:t>
            </w:r>
          </w:p>
        </w:tc>
      </w:tr>
      <w:tr>
        <w:trPr/>
        <w:tc>
          <w:tcPr>
            <w:tcW w:w="56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and other payables, deposits received and accrued expenses</w:t>
            </w:r>
          </w:p>
        </w:tc>
        <w:tc>
          <w:tcPr>
            <w:tcW w:w="346" w:type="dxa"/>
            <w:tcBorders/>
            <w:vAlign w:val="center"/>
          </w:tcPr>
          <w:p>
            <w:pPr>
              <w:pStyle w:val="TableContents"/>
              <w:bidi w:val="0"/>
              <w:spacing w:before="0" w:after="1"/>
              <w:ind w:left="0" w:right="0" w:hanging="0"/>
              <w:jc w:val="left"/>
              <w:rPr/>
            </w:pPr>
            <w:r>
              <w:rPr/>
              <w:t> </w:t>
            </w:r>
          </w:p>
        </w:tc>
        <w:tc>
          <w:tcPr>
            <w:tcW w:w="1546"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571,357</w:t>
            </w:r>
          </w:p>
        </w:tc>
        <w:tc>
          <w:tcPr>
            <w:tcW w:w="346" w:type="dxa"/>
            <w:tcBorders/>
            <w:vAlign w:val="center"/>
          </w:tcPr>
          <w:p>
            <w:pPr>
              <w:pStyle w:val="TableContents"/>
              <w:bidi w:val="0"/>
              <w:spacing w:before="0" w:after="1"/>
              <w:ind w:left="0" w:right="0" w:hanging="0"/>
              <w:jc w:val="left"/>
              <w:rPr/>
            </w:pPr>
            <w:r>
              <w:rPr/>
              <w:t> </w:t>
            </w:r>
          </w:p>
        </w:tc>
        <w:tc>
          <w:tcPr>
            <w:tcW w:w="123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628,651</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The current portion of government grants received with conditions mainly represents the grants received with certain requirements of operation performance and tax contribution in a specified region.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112" w:name="Tc_1sUQLzKMxkaoLbnFsc8nig_5_0"/>
      <w:bookmarkStart w:id="1113" w:name="Tc_qEjoaR9LI0eks3uXr-OQ0g_4_0"/>
      <w:bookmarkStart w:id="1114" w:name="Tc_vS9nKSkMm0qPgPMFyGVifw_3_4"/>
      <w:bookmarkStart w:id="1115" w:name="Tc_Rg5d5sTL602uzCKdri7ffg_3_2"/>
      <w:bookmarkStart w:id="1116" w:name="Tc__tHWakTiL0i3zkG6LSoS5A_2_4"/>
      <w:bookmarkStart w:id="1117" w:name="Tc_DKv0OXb6iEa4g2SshzOO3w_2_2"/>
      <w:bookmarkStart w:id="1118" w:name="Tc_tT8araeRPU6a3s7W2GIfnQ_1_4"/>
      <w:bookmarkStart w:id="1119" w:name="Tc_zPIlH1EoN0ueJ0wXwFWW7Q_1_2"/>
      <w:bookmarkEnd w:id="1112"/>
      <w:bookmarkEnd w:id="1113"/>
      <w:bookmarkEnd w:id="1114"/>
      <w:bookmarkEnd w:id="1115"/>
      <w:bookmarkEnd w:id="1116"/>
      <w:bookmarkEnd w:id="1117"/>
      <w:bookmarkEnd w:id="1118"/>
      <w:bookmarkEnd w:id="1119"/>
      <w:r>
        <w:rPr>
          <w:rFonts w:ascii="Times New Roman;Times;serif" w:hAnsi="Times New Roman;Times;serif"/>
          <w:b/>
          <w:i w:val="false"/>
          <w:caps w:val="false"/>
          <w:smallCaps w:val="false"/>
          <w:sz w:val="20"/>
        </w:rPr>
        <w:t>21</w:t>
      </w:r>
      <w:r>
        <w:rPr>
          <w:rFonts w:ascii="Times New Roman;Times;serif" w:hAnsi="Times New Roman;Times;serif"/>
          <w:b/>
          <w:sz w:val="20"/>
        </w:rPr>
        <w:t>TRADE AND OTHER PAYABLES, DEPOSITS RECEIVED AND ACCRUED EXPENSES (CONTINUED)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Aging analysis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aging analysis of trade payables based on the invoice date, is as follows:</w:t>
      </w:r>
    </w:p>
    <w:p>
      <w:pPr>
        <w:pStyle w:val="TextBody"/>
        <w:bidi w:val="0"/>
        <w:spacing w:before="0" w:after="0"/>
        <w:ind w:left="0" w:right="0" w:hanging="0"/>
        <w:jc w:val="left"/>
        <w:rPr/>
      </w:pPr>
      <w:r>
        <w:rPr/>
        <w:t>​</w:t>
      </w:r>
    </w:p>
    <w:tbl>
      <w:tblPr>
        <w:tblW w:w="5015" w:type="dxa"/>
        <w:jc w:val="left"/>
        <w:tblInd w:w="0" w:type="dxa"/>
        <w:tblLayout w:type="fixed"/>
        <w:tblCellMar>
          <w:top w:w="0" w:type="dxa"/>
          <w:left w:w="0" w:type="dxa"/>
          <w:bottom w:w="0" w:type="dxa"/>
          <w:right w:w="0" w:type="dxa"/>
        </w:tblCellMar>
      </w:tblPr>
      <w:tblGrid>
        <w:gridCol w:w="1546"/>
        <w:gridCol w:w="346"/>
        <w:gridCol w:w="1546"/>
        <w:gridCol w:w="346"/>
        <w:gridCol w:w="123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81710" cy="175260"/>
                      <wp:effectExtent l="0" t="0" r="0" b="0"/>
                      <wp:wrapNone/>
                      <wp:docPr id="297" name="Frame29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81710" cy="175260"/>
                      <wp:effectExtent l="0" t="0" r="0" b="0"/>
                      <wp:wrapNone/>
                      <wp:docPr id="299" name="Frame29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81685" cy="175260"/>
                      <wp:effectExtent l="0" t="0" r="0" b="0"/>
                      <wp:wrapNone/>
                      <wp:docPr id="301" name="Frame30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As of December 31, </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June 30, </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2025</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color w:val="231F20"/>
                <w:sz w:val="16"/>
              </w:rPr>
            </w:pPr>
            <w:r>
              <w:rPr>
                <w:rFonts w:ascii="Times New Roman;Times;serif" w:hAnsi="Times New Roman;Times;serif"/>
                <w:color w:val="231F20"/>
                <w:sz w:val="16"/>
              </w:rPr>
              <w:t>RMB’000</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Within 1 year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154,930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234,824</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More than 1 year </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8,070</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8,739</w:t>
            </w:r>
          </w:p>
        </w:tc>
      </w:tr>
      <w:tr>
        <w:trPr/>
        <w:tc>
          <w:tcPr>
            <w:tcW w:w="15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163,000</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color w:val="231F20"/>
                <w:sz w:val="20"/>
              </w:rPr>
            </w:pPr>
            <w:r>
              <w:rPr>
                <w:rFonts w:ascii="Times New Roman;Times;serif" w:hAnsi="Times New Roman;Times;serif"/>
                <w:b/>
                <w:color w:val="231F20"/>
                <w:sz w:val="20"/>
              </w:rPr>
              <w:t>243,563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June 30, 2026, all of the balances of trade and other payables are expected to be settled or recognized as income within one year or are repayable on demand. The credit period granted by the suppliers is generally between 30 and 60 days.</w:t>
      </w:r>
    </w:p>
    <w:p>
      <w:pPr>
        <w:pStyle w:val="TextBody"/>
        <w:bidi w:val="0"/>
        <w:spacing w:before="0" w:after="0"/>
        <w:ind w:left="0" w:right="0" w:hanging="0"/>
        <w:jc w:val="left"/>
        <w:rPr>
          <w:rFonts w:ascii="Times New Roman;Times;serif" w:hAnsi="Times New Roman;Times;serif"/>
          <w:b/>
          <w:sz w:val="20"/>
        </w:rPr>
      </w:pPr>
      <w:bookmarkStart w:id="1120" w:name="Tc_QjDvVVYOIUOSoaUMQo9spw_5_0"/>
      <w:bookmarkStart w:id="1121" w:name="Tc_6Ph1vLgmJk2Tmgjd4RPBAw_4_0"/>
      <w:bookmarkStart w:id="1122" w:name="Tc_xhbCZuSiZUK_q7vlHXA5Uw_3_4"/>
      <w:bookmarkStart w:id="1123" w:name="Tc_r1zCHE9Hq02o4PywW1sTOQ_3_2"/>
      <w:bookmarkStart w:id="1124" w:name="Tc_stzOcKFENUGCiRuGG5Ro8A_2_4"/>
      <w:bookmarkStart w:id="1125" w:name="Tc_gFh-0pgFmUKmK6n_Hs8lgw_2_2"/>
      <w:bookmarkStart w:id="1126" w:name="Tc_DS0INCDUmU6163HF_pMfxw_1_4"/>
      <w:bookmarkStart w:id="1127" w:name="Tc_s26iQyvrqkuhtQD5uAMtRQ_1_2"/>
      <w:bookmarkStart w:id="1128" w:name="_ec0467d3_e6ac_4593_93eb_cef1fff0fe9e"/>
      <w:bookmarkEnd w:id="1120"/>
      <w:bookmarkEnd w:id="1121"/>
      <w:bookmarkEnd w:id="1122"/>
      <w:bookmarkEnd w:id="1123"/>
      <w:bookmarkEnd w:id="1124"/>
      <w:bookmarkEnd w:id="1125"/>
      <w:bookmarkEnd w:id="1126"/>
      <w:bookmarkEnd w:id="1127"/>
      <w:bookmarkEnd w:id="1128"/>
      <w:r>
        <w:rPr>
          <w:rFonts w:ascii="Times New Roman;Times;serif" w:hAnsi="Times New Roman;Times;serif"/>
          <w:b/>
          <w:i w:val="false"/>
          <w:caps w:val="false"/>
          <w:smallCaps w:val="false"/>
          <w:sz w:val="20"/>
        </w:rPr>
        <w:t>22</w:t>
      </w:r>
      <w:r>
        <w:rPr>
          <w:rFonts w:ascii="Times New Roman;Times;serif" w:hAnsi="Times New Roman;Times;serif"/>
          <w:b/>
          <w:sz w:val="20"/>
        </w:rPr>
        <w:t>BANK LOANS</w:t>
      </w:r>
    </w:p>
    <w:p>
      <w:pPr>
        <w:pStyle w:val="TextBody"/>
        <w:bidi w:val="0"/>
        <w:spacing w:before="0" w:after="240"/>
        <w:ind w:left="0" w:right="0" w:hanging="0"/>
        <w:jc w:val="both"/>
        <w:rPr/>
      </w:pPr>
      <w:r>
        <w:rPr/>
        <w:t>​</w:t>
      </w:r>
    </w:p>
    <w:tbl>
      <w:tblPr>
        <w:tblW w:w="6380" w:type="dxa"/>
        <w:jc w:val="left"/>
        <w:tblInd w:w="0" w:type="dxa"/>
        <w:tblLayout w:type="fixed"/>
        <w:tblCellMar>
          <w:top w:w="0" w:type="dxa"/>
          <w:left w:w="0" w:type="dxa"/>
          <w:bottom w:w="0" w:type="dxa"/>
          <w:right w:w="0" w:type="dxa"/>
        </w:tblCellMar>
      </w:tblPr>
      <w:tblGrid>
        <w:gridCol w:w="2911"/>
        <w:gridCol w:w="346"/>
        <w:gridCol w:w="1546"/>
        <w:gridCol w:w="346"/>
        <w:gridCol w:w="123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848485" cy="175260"/>
                      <wp:effectExtent l="0" t="0" r="0" b="0"/>
                      <wp:wrapNone/>
                      <wp:docPr id="302" name="Frame30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981710" cy="175260"/>
                      <wp:effectExtent l="0" t="0" r="0" b="0"/>
                      <wp:wrapNone/>
                      <wp:docPr id="304" name="Frame30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81685" cy="175260"/>
                      <wp:effectExtent l="0" t="0" r="0" b="0"/>
                      <wp:wrapNone/>
                      <wp:docPr id="306" name="Frame30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 xml:space="preserve">Short-term bank loans (Note (i)) </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324,263</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485,047</w:t>
            </w:r>
          </w:p>
        </w:tc>
      </w:tr>
    </w:tbl>
    <w:p>
      <w:pPr>
        <w:pStyle w:val="TextBody"/>
        <w:bidi w:val="0"/>
        <w:spacing w:before="0" w:after="0"/>
        <w:ind w:left="0" w:right="0" w:hanging="0"/>
        <w:jc w:val="left"/>
        <w:rPr>
          <w:rFonts w:ascii="Times New Roman;Times;serif" w:hAnsi="Times New Roman;Times;serif"/>
          <w:color w:val="231F20"/>
          <w:sz w:val="16"/>
        </w:rPr>
      </w:pPr>
      <w:r>
        <w:rPr>
          <w:rFonts w:ascii="Times New Roman;Times;serif" w:hAnsi="Times New Roman;Times;serif"/>
          <w:color w:val="231F20"/>
          <w:sz w:val="16"/>
        </w:rPr>
        <w:t>Note: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(i)</w:t>
            </w:r>
          </w:p>
        </w:tc>
        <w:tc>
          <w:tcPr>
            <w:tcW w:w="99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As of June 30, 2026, the Group had outstanding one-year short-term loans with total principal amount and accrued interest of RMB485.0</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bearing interest rates varying from 2.11%</w:t>
            </w:r>
            <w:r>
              <w:rPr>
                <w:caps w:val="false"/>
                <w:smallCaps w:val="false"/>
                <w:color w:val="231F20"/>
              </w:rPr>
              <w:t xml:space="preserve"> </w:t>
            </w:r>
            <w:r>
              <w:rPr>
                <w:rFonts w:ascii="Times New Roman;Times;serif" w:hAnsi="Times New Roman;Times;serif"/>
                <w:b w:val="false"/>
                <w:i w:val="false"/>
                <w:caps w:val="false"/>
                <w:smallCaps w:val="false"/>
                <w:color w:val="231F20"/>
                <w:sz w:val="16"/>
              </w:rPr>
              <w:t>to 2.21%</w:t>
            </w:r>
            <w:r>
              <w:rPr>
                <w:caps w:val="false"/>
                <w:smallCaps w:val="false"/>
                <w:color w:val="231F20"/>
              </w:rPr>
              <w:t xml:space="preserve"> </w:t>
            </w:r>
            <w:r>
              <w:rPr>
                <w:rFonts w:ascii="Times New Roman;Times;serif" w:hAnsi="Times New Roman;Times;serif"/>
                <w:b w:val="false"/>
                <w:i w:val="false"/>
                <w:caps w:val="false"/>
                <w:smallCaps w:val="false"/>
                <w:color w:val="231F20"/>
                <w:sz w:val="16"/>
              </w:rPr>
              <w:t>per annum. As of June 30, 2026, certain patents held by the Group were pledged for certain bank loans with total principal amount of RMB130.0</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w:t>
            </w:r>
          </w:p>
        </w:tc>
      </w:tr>
    </w:tbl>
    <w:p>
      <w:pPr>
        <w:pStyle w:val="TextBody"/>
        <w:bidi w:val="0"/>
        <w:spacing w:before="0" w:after="240"/>
        <w:ind w:left="0" w:right="0" w:hanging="0"/>
        <w:jc w:val="left"/>
        <w:rPr>
          <w:rFonts w:ascii="Times New Roman;Times;serif" w:hAnsi="Times New Roman;Times;serif"/>
          <w:sz w:val="20"/>
        </w:rPr>
      </w:pPr>
      <w:bookmarkStart w:id="1129" w:name="Tc_d8kBQ0OgRU-EWqQHq0JhOw_5_0"/>
      <w:bookmarkStart w:id="1130" w:name="Tc_0BUssDhvmE6xtWkdWYC2PQ_4_8"/>
      <w:bookmarkStart w:id="1131" w:name="Tc_F3bfGKMilUm7022FlQwecQ_4_4"/>
      <w:bookmarkStart w:id="1132" w:name="Tc_YQUoZHh7_EiiPjEITIi3mA_3_8"/>
      <w:bookmarkStart w:id="1133" w:name="Tc_sAXpYZc_306sdI_c7X5F6w_3_6"/>
      <w:bookmarkStart w:id="1134" w:name="Tc_xGjeR-yeBEKsF3TvcFF5Pg_3_4"/>
      <w:bookmarkStart w:id="1135" w:name="Tc_0vH2Mvrg-k-dKwCOoRuaAQ_3_2"/>
      <w:bookmarkStart w:id="1136" w:name="Tc_GXjbdrP6mUG1hmXtDYRihA_2_8"/>
      <w:bookmarkStart w:id="1137" w:name="Tc_g3U9GLHU6UCisNC7_-EoqQ_2_6"/>
      <w:bookmarkStart w:id="1138" w:name="Tc_D5-CJqfJvEiRzBZ1mjQHVQ_2_4"/>
      <w:bookmarkStart w:id="1139" w:name="Tc_QiL4WGjnuU6SsE0NZgmSRQ_2_2"/>
      <w:bookmarkStart w:id="1140" w:name="Tc_f_cBLED3bUuCGSMqrDI6Sw_1_8"/>
      <w:bookmarkStart w:id="1141" w:name="Tc_9T9uITypcUWHbzxLJHJ4bg_1_6"/>
      <w:bookmarkStart w:id="1142" w:name="Tc_0GAs4ugmcEii3M9s9RcCDw_1_4"/>
      <w:bookmarkStart w:id="1143" w:name="Tc_n1lgovxIhUyCEFs9y7-3hg_1_2"/>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NRMTPro-Bold" w:hAnsi="TimesNRMTPro-Bold"/>
          <w:b/>
          <w:i w:val="false"/>
          <w:caps w:val="false"/>
          <w:smallCaps w:val="false"/>
          <w:sz w:val="20"/>
        </w:rPr>
        <w:t>23</w:t>
      </w:r>
      <w:r>
        <w:rPr>
          <w:rFonts w:ascii="TimesNRMTPro-Bold" w:hAnsi="TimesNRMTPro-Bold"/>
          <w:b/>
          <w:sz w:val="20"/>
        </w:rPr>
        <w:t>CAPITAL AND RESERVES</w:t>
      </w:r>
    </w:p>
    <w:tbl>
      <w:tblPr>
        <w:tblW w:w="4247" w:type="dxa"/>
        <w:jc w:val="left"/>
        <w:tblInd w:w="0" w:type="dxa"/>
        <w:tblLayout w:type="fixed"/>
        <w:tblCellMar>
          <w:top w:w="0" w:type="dxa"/>
          <w:left w:w="0" w:type="dxa"/>
          <w:bottom w:w="0" w:type="dxa"/>
          <w:right w:w="0" w:type="dxa"/>
        </w:tblCellMar>
      </w:tblPr>
      <w:tblGrid>
        <w:gridCol w:w="436"/>
        <w:gridCol w:w="3811"/>
      </w:tblGrid>
      <w:tr>
        <w:trPr/>
        <w:tc>
          <w:tcPr>
            <w:tcW w:w="436" w:type="dxa"/>
            <w:tcBorders/>
            <w:vAlign w:val="center"/>
          </w:tcPr>
          <w:p>
            <w:pPr>
              <w:pStyle w:val="TableContents"/>
              <w:bidi w:val="0"/>
              <w:spacing w:before="0" w:after="283"/>
              <w:jc w:val="left"/>
              <w:rPr>
                <w:rFonts w:ascii="TimesNRMTPro-Bold" w:hAnsi="TimesNRMTPro-Bold"/>
                <w:b/>
                <w:i/>
                <w:sz w:val="20"/>
              </w:rPr>
            </w:pPr>
            <w:r>
              <w:rPr>
                <w:rFonts w:ascii="TimesNRMTPro-Bold" w:hAnsi="TimesNRMTPro-Bold"/>
                <w:b/>
                <w:i/>
                <w:sz w:val="20"/>
              </w:rPr>
              <w:t>(a)</w:t>
            </w:r>
          </w:p>
        </w:tc>
        <w:tc>
          <w:tcPr>
            <w:tcW w:w="3811" w:type="dxa"/>
            <w:tcBorders/>
            <w:vAlign w:val="center"/>
          </w:tcPr>
          <w:p>
            <w:pPr>
              <w:pStyle w:val="TableContents"/>
              <w:bidi w:val="0"/>
              <w:spacing w:before="0" w:after="283"/>
              <w:jc w:val="left"/>
              <w:rPr>
                <w:rFonts w:ascii="TimesNRMTPro-Bold" w:hAnsi="TimesNRMTPro-Bold"/>
                <w:b/>
                <w:i/>
                <w:sz w:val="20"/>
              </w:rPr>
            </w:pPr>
            <w:r>
              <w:rPr>
                <w:rFonts w:ascii="TimesNRMTPro-Bold" w:hAnsi="TimesNRMTPro-Bold"/>
                <w:b/>
                <w:i/>
                <w:sz w:val="20"/>
              </w:rPr>
              <w:t>Share capital and share premium</w:t>
            </w:r>
          </w:p>
        </w:tc>
      </w:tr>
    </w:tbl>
    <w:p>
      <w:pPr>
        <w:pStyle w:val="TextBody"/>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As of June 30, 2026, analysis of the Company’s issued shares was as follows:</w:t>
      </w:r>
    </w:p>
    <w:p>
      <w:pPr>
        <w:pStyle w:val="TextBody"/>
        <w:bidi w:val="0"/>
        <w:spacing w:before="0" w:after="0"/>
        <w:ind w:left="0" w:right="0" w:hanging="0"/>
        <w:jc w:val="left"/>
        <w:rPr/>
      </w:pPr>
      <w:r>
        <w:rPr/>
        <w:t>​</w:t>
      </w:r>
    </w:p>
    <w:tbl>
      <w:tblPr>
        <w:tblW w:w="9129" w:type="dxa"/>
        <w:jc w:val="left"/>
        <w:tblInd w:w="0" w:type="dxa"/>
        <w:tblLayout w:type="fixed"/>
        <w:tblCellMar>
          <w:top w:w="0" w:type="dxa"/>
          <w:left w:w="0" w:type="dxa"/>
          <w:bottom w:w="0" w:type="dxa"/>
          <w:right w:w="0" w:type="dxa"/>
        </w:tblCellMar>
      </w:tblPr>
      <w:tblGrid>
        <w:gridCol w:w="2686"/>
        <w:gridCol w:w="346"/>
        <w:gridCol w:w="1246"/>
        <w:gridCol w:w="346"/>
        <w:gridCol w:w="1261"/>
        <w:gridCol w:w="346"/>
        <w:gridCol w:w="1246"/>
        <w:gridCol w:w="346"/>
        <w:gridCol w:w="130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05610" cy="175260"/>
                      <wp:effectExtent l="0" t="0" r="0" b="0"/>
                      <wp:wrapNone/>
                      <wp:docPr id="307" name="Frame30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91210" cy="175260"/>
                      <wp:effectExtent l="0" t="0" r="0" b="0"/>
                      <wp:wrapNone/>
                      <wp:docPr id="309" name="Frame30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800735" cy="175260"/>
                      <wp:effectExtent l="0" t="0" r="0" b="0"/>
                      <wp:wrapNone/>
                      <wp:docPr id="311" name="Frame31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91210" cy="175260"/>
                      <wp:effectExtent l="0" t="0" r="0" b="0"/>
                      <wp:wrapNone/>
                      <wp:docPr id="313" name="Frame31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29310" cy="175260"/>
                      <wp:effectExtent l="0" t="0" r="0" b="0"/>
                      <wp:wrapNone/>
                      <wp:docPr id="315" name="Frame31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capital of</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capital of</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January 1/June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972,508,041</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54,814,423</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both"/>
        <w:rPr>
          <w:rFonts w:ascii="Times New Roman;Times;serif" w:hAnsi="Times New Roman;Times;serif"/>
          <w:color w:val="231F20"/>
          <w:sz w:val="16"/>
        </w:rPr>
      </w:pPr>
      <w:r>
        <w:rPr>
          <w:rFonts w:ascii="Times New Roman;Times;serif" w:hAnsi="Times New Roman;Times;serif"/>
          <w:color w:val="231F20"/>
          <w:sz w:val="16"/>
        </w:rPr>
        <w:t>Notes:</w:t>
      </w:r>
    </w:p>
    <w:p>
      <w:pPr>
        <w:pStyle w:val="TextBody"/>
        <w:bidi w:val="0"/>
        <w:spacing w:before="0" w:after="0"/>
        <w:ind w:left="360" w:right="0" w:hanging="0"/>
        <w:jc w:val="both"/>
        <w:rPr>
          <w:color w:val="231F20"/>
        </w:rPr>
      </w:pPr>
      <w:r>
        <w:rPr>
          <w:color w:val="231F20"/>
        </w:rPr>
        <w:t>​</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six months ended June 30, 2026, the Company used 1,915,725</w:t>
            </w:r>
            <w:r>
              <w:rPr>
                <w:caps w:val="false"/>
                <w:smallCaps w:val="false"/>
              </w:rPr>
              <w:t xml:space="preserve"> </w:t>
            </w:r>
            <w:r>
              <w:rPr>
                <w:rFonts w:ascii="Times New Roman;Times;serif" w:hAnsi="Times New Roman;Times;serif"/>
                <w:b w:val="false"/>
                <w:i w:val="false"/>
                <w:caps w:val="false"/>
                <w:smallCaps w:val="false"/>
                <w:sz w:val="16"/>
              </w:rPr>
              <w:t>Class A ordinary shares to settle vested RSUs held by certain employees, with par value of US$0.00001</w:t>
            </w:r>
            <w:r>
              <w:rPr>
                <w:caps w:val="false"/>
                <w:smallCaps w:val="false"/>
              </w:rPr>
              <w:t xml:space="preserve"> </w:t>
            </w:r>
            <w:r>
              <w:rPr>
                <w:rFonts w:ascii="Times New Roman;Times;serif" w:hAnsi="Times New Roman;Times;serif"/>
                <w:b w:val="false"/>
                <w:i w:val="false"/>
                <w:caps w:val="false"/>
                <w:smallCaps w:val="false"/>
                <w:sz w:val="16"/>
              </w:rPr>
              <w:t>each, all of which were used from the 75,000,000</w:t>
            </w:r>
            <w:r>
              <w:rPr>
                <w:caps w:val="false"/>
                <w:smallCaps w:val="false"/>
              </w:rPr>
              <w:t xml:space="preserve"> </w:t>
            </w:r>
            <w:r>
              <w:rPr>
                <w:rFonts w:ascii="Times New Roman;Times;serif" w:hAnsi="Times New Roman;Times;serif"/>
                <w:b w:val="false"/>
                <w:i w:val="false"/>
                <w:caps w:val="false"/>
                <w:smallCaps w:val="false"/>
                <w:sz w:val="16"/>
              </w:rPr>
              <w:t>Class A ordinary shares issued to the share depositary bank.</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six months ended June 30, 2026, the Company used 3,850,311</w:t>
            </w:r>
            <w:r>
              <w:rPr>
                <w:caps w:val="false"/>
                <w:smallCaps w:val="false"/>
              </w:rPr>
              <w:t xml:space="preserve"> </w:t>
            </w:r>
            <w:r>
              <w:rPr>
                <w:rFonts w:ascii="Times New Roman;Times;serif" w:hAnsi="Times New Roman;Times;serif"/>
                <w:b w:val="false"/>
                <w:i w:val="false"/>
                <w:caps w:val="false"/>
                <w:smallCaps w:val="false"/>
                <w:sz w:val="16"/>
              </w:rPr>
              <w:t>Class A ordinary shares for the exercise of vested share options held by certain employees, with par value of US$0.00001</w:t>
            </w:r>
            <w:r>
              <w:rPr>
                <w:caps w:val="false"/>
                <w:smallCaps w:val="false"/>
              </w:rPr>
              <w:t xml:space="preserve"> </w:t>
            </w:r>
            <w:r>
              <w:rPr>
                <w:rFonts w:ascii="Times New Roman;Times;serif" w:hAnsi="Times New Roman;Times;serif"/>
                <w:b w:val="false"/>
                <w:i w:val="false"/>
                <w:caps w:val="false"/>
                <w:smallCaps w:val="false"/>
                <w:sz w:val="16"/>
              </w:rPr>
              <w:t>each, all of which were used from the 75,000,000</w:t>
            </w:r>
            <w:r>
              <w:rPr>
                <w:caps w:val="false"/>
                <w:smallCaps w:val="false"/>
              </w:rPr>
              <w:t xml:space="preserve"> </w:t>
            </w:r>
            <w:r>
              <w:rPr>
                <w:rFonts w:ascii="Times New Roman;Times;serif" w:hAnsi="Times New Roman;Times;serif"/>
                <w:b w:val="false"/>
                <w:i w:val="false"/>
                <w:caps w:val="false"/>
                <w:smallCaps w:val="false"/>
                <w:sz w:val="16"/>
              </w:rPr>
              <w:t>Class A ordinary shares issued to the share depositary bank. The Company received proceeds amounting to</w:t>
            </w:r>
            <w:r>
              <w:rPr>
                <w:caps w:val="false"/>
                <w:smallCaps w:val="false"/>
              </w:rPr>
              <w:t xml:space="preserve"> </w:t>
            </w:r>
            <w:r>
              <w:rPr>
                <w:rFonts w:ascii="Times New Roman;Times;serif" w:hAnsi="Times New Roman;Times;serif"/>
                <w:b w:val="false"/>
                <w:i w:val="false"/>
                <w:caps w:val="false"/>
                <w:smallCaps w:val="false"/>
                <w:sz w:val="16"/>
              </w:rPr>
              <w:t>RMB21.0</w:t>
            </w:r>
            <w:r>
              <w:rPr>
                <w:caps w:val="false"/>
                <w:smallCaps w:val="false"/>
              </w:rPr>
              <w:t xml:space="preserve"> </w:t>
            </w:r>
            <w:r>
              <w:rPr>
                <w:rFonts w:ascii="Times New Roman;Times;serif" w:hAnsi="Times New Roman;Times;serif"/>
                <w:b w:val="false"/>
                <w:i w:val="false"/>
                <w:caps w:val="false"/>
                <w:smallCaps w:val="false"/>
                <w:sz w:val="16"/>
              </w:rPr>
              <w:t>million from issuance of Class A ordinary shares for the exercise of vested share options.</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(iii)</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 2025, the Company issued 75,000,000</w:t>
            </w:r>
            <w:r>
              <w:rPr>
                <w:caps w:val="false"/>
                <w:smallCaps w:val="false"/>
              </w:rPr>
              <w:t xml:space="preserve"> </w:t>
            </w:r>
            <w:r>
              <w:rPr>
                <w:rFonts w:ascii="Times New Roman;Times;serif" w:hAnsi="Times New Roman;Times;serif"/>
                <w:b w:val="false"/>
                <w:i w:val="false"/>
                <w:caps w:val="false"/>
                <w:smallCaps w:val="false"/>
                <w:sz w:val="16"/>
              </w:rPr>
              <w:t>Class A ordinary shares to its share depositary bank to be used for the settlement of vested RSUs and exercise of vested share options, which were recorded as treasury shares. These shares have been excluded from the computation of loss per ordinary share until they are used for the settlement of vested RSUs and exercise of vested share options. No</w:t>
            </w:r>
            <w:r>
              <w:rPr>
                <w:caps w:val="false"/>
                <w:smallCaps w:val="false"/>
              </w:rPr>
              <w:t xml:space="preserve"> </w:t>
            </w:r>
            <w:r>
              <w:rPr>
                <w:rFonts w:ascii="Times New Roman;Times;serif" w:hAnsi="Times New Roman;Times;serif"/>
                <w:b w:val="false"/>
                <w:i w:val="false"/>
                <w:caps w:val="false"/>
                <w:smallCaps w:val="false"/>
                <w:sz w:val="16"/>
              </w:rPr>
              <w:t>consideration was received by the Company for this issuance of ordinary shares. As of June 30, 2026, 34,788,501</w:t>
            </w:r>
            <w:r>
              <w:rPr>
                <w:caps w:val="false"/>
                <w:smallCaps w:val="false"/>
              </w:rPr>
              <w:t xml:space="preserve"> </w:t>
            </w:r>
            <w:r>
              <w:rPr>
                <w:rFonts w:ascii="Times New Roman;Times;serif" w:hAnsi="Times New Roman;Times;serif"/>
                <w:b w:val="false"/>
                <w:i w:val="false"/>
                <w:caps w:val="false"/>
                <w:smallCaps w:val="false"/>
                <w:sz w:val="16"/>
              </w:rPr>
              <w:t>and 17,922,804</w:t>
            </w:r>
            <w:r>
              <w:rPr>
                <w:caps w:val="false"/>
                <w:smallCaps w:val="false"/>
              </w:rPr>
              <w:t xml:space="preserve"> </w:t>
            </w:r>
            <w:r>
              <w:rPr>
                <w:rFonts w:ascii="Times New Roman;Times;serif" w:hAnsi="Times New Roman;Times;serif"/>
                <w:b w:val="false"/>
                <w:i w:val="false"/>
                <w:caps w:val="false"/>
                <w:smallCaps w:val="false"/>
                <w:sz w:val="16"/>
              </w:rPr>
              <w:t>Class A ordinary shares had been used for the aforesaid settlement of vested RSUs and exercise of vested share options,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144" w:name="Tc_aRoV8CdSjkC9tIC3vcV3sg_11_0"/>
      <w:bookmarkStart w:id="1145" w:name="Tc_dpuP3BDOukWxh2PbBN2LOQ_9_8"/>
      <w:bookmarkStart w:id="1146" w:name="Tc_P7pXIdG6iUqprced0_S3lA_9_6"/>
      <w:bookmarkStart w:id="1147" w:name="Tc_lrtsL4XZ20qDtI8Runmrlw_9_4"/>
      <w:bookmarkStart w:id="1148" w:name="Tc_GIDFJS7nEkqwotwu__op5w_9_0"/>
      <w:bookmarkStart w:id="1149" w:name="Tc_69kCzXl6x0qSb4U3LPyBDA_8_8"/>
      <w:bookmarkStart w:id="1150" w:name="Tc_rWGAfzm9BUeUxfs48hXGvQ_8_6"/>
      <w:bookmarkStart w:id="1151" w:name="Tc_dQnVhH3XQk2pvTx_1cI9KQ_8_2"/>
      <w:bookmarkStart w:id="1152" w:name="Tc_M-bpyp2bg0an5a6CkSC5-Q_8_0"/>
      <w:bookmarkStart w:id="1153" w:name="Tc_RxS4xVv9tUa-LX3XoV4V7w_7_6"/>
      <w:bookmarkStart w:id="1154" w:name="Tc_84aMy5Ux6UKAEf8t_m5RXA_7_4"/>
      <w:bookmarkStart w:id="1155" w:name="Tc_3egHw6dgvUusGyQymd6Ldg_7_2"/>
      <w:bookmarkStart w:id="1156" w:name="Tc_m4PB18eEoUa_trxSafUr9g_7_0"/>
      <w:bookmarkStart w:id="1157" w:name="Tc_J3ZAwJB1RUaM3smBN8k-tw_6_0"/>
      <w:bookmarkStart w:id="1158" w:name="Tc_7MWgLM7o40uESD5YYkGpLQ_4_8"/>
      <w:bookmarkStart w:id="1159" w:name="Tc_ZtsA6duG5EyOiws2-0MJ_w_4_6"/>
      <w:bookmarkStart w:id="1160" w:name="Tc_ADtKZxY47kOVDaj8nG0XKA_4_4"/>
      <w:bookmarkStart w:id="1161" w:name="Tc_muHJybLiikO0MG6KASRrjw_4_2"/>
      <w:bookmarkStart w:id="1162" w:name="Tc_0r5fFIXHEkWkCn4FYj_DTw_3_8"/>
      <w:bookmarkStart w:id="1163" w:name="Tc_nLM7na_qnkacP-0OCa9ClQ_3_6"/>
      <w:bookmarkStart w:id="1164" w:name="Tc_jmJfG9_kekWczBT0rSAS9g_3_4"/>
      <w:bookmarkStart w:id="1165" w:name="Tc_5dgyBM2hbU--7aDqlUYjNA_3_2"/>
      <w:bookmarkStart w:id="1166" w:name="Tc_5ZtiZCM5REeFNWwtV_Qycg_2_8"/>
      <w:bookmarkStart w:id="1167" w:name="Tc_BjMMwfsxd0ySHU-bzuowqw_2_6"/>
      <w:bookmarkStart w:id="1168" w:name="Tc_PhWDJPMNKkeSuSm-jmfNXQ_2_4"/>
      <w:bookmarkStart w:id="1169" w:name="Tc_nro04X4Q-0KhNliitUQ7Eg_2_2"/>
      <w:bookmarkStart w:id="1170" w:name="Tc_vUtrjKgN_0KH7sUoKmhnHg_1_2"/>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Pr>
          <w:rFonts w:ascii="TimesNRMTPro-Bold" w:hAnsi="TimesNRMTPro-Bold"/>
          <w:b/>
          <w:i w:val="false"/>
          <w:caps w:val="false"/>
          <w:smallCaps w:val="false"/>
          <w:sz w:val="20"/>
        </w:rPr>
        <w:t>23</w:t>
      </w:r>
      <w:r>
        <w:rPr>
          <w:rFonts w:ascii="TimesNRMTPro-Bold" w:hAnsi="TimesNRMTPro-Bold"/>
          <w:b/>
          <w:sz w:val="20"/>
        </w:rPr>
        <w:t>CAPITAL AND RESERVES (CONTINUED)</w:t>
      </w:r>
    </w:p>
    <w:tbl>
      <w:tblPr>
        <w:tblW w:w="1802" w:type="dxa"/>
        <w:jc w:val="left"/>
        <w:tblInd w:w="0" w:type="dxa"/>
        <w:tblLayout w:type="fixed"/>
        <w:tblCellMar>
          <w:top w:w="0" w:type="dxa"/>
          <w:left w:w="0" w:type="dxa"/>
          <w:bottom w:w="0" w:type="dxa"/>
          <w:right w:w="0" w:type="dxa"/>
        </w:tblCellMar>
      </w:tblPr>
      <w:tblGrid>
        <w:gridCol w:w="346"/>
        <w:gridCol w:w="1456"/>
      </w:tblGrid>
      <w:tr>
        <w:trPr/>
        <w:tc>
          <w:tcPr>
            <w:tcW w:w="3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145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Treasury shares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23, 2026, the Board of Directors authorized a share repurchase program (the “2026 Share Repurchase Program”), under which the Company may repurchase up to US$100 million of its Class A ordinary shares (including in the form of ADS) over the next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Company repurchased 13,006,299 and 27,447,800 Class A ordinary shares from the Nasdaq Stock Market and HKEX at market prices, respectively. The repurchase consideration was settled in USD or HKD, equalling RMB684.8 million, which was recorded as treasury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number of Class A ordinary shares reserved for the settlement of vested RSUs and exercise of vested share options, as mentioned in note 23(a) (iii), was 22,288,695.</w:t>
      </w:r>
    </w:p>
    <w:tbl>
      <w:tblPr>
        <w:tblW w:w="3032" w:type="dxa"/>
        <w:jc w:val="left"/>
        <w:tblInd w:w="0" w:type="dxa"/>
        <w:tblLayout w:type="fixed"/>
        <w:tblCellMar>
          <w:top w:w="0" w:type="dxa"/>
          <w:left w:w="0" w:type="dxa"/>
          <w:bottom w:w="0" w:type="dxa"/>
          <w:right w:w="0" w:type="dxa"/>
        </w:tblCellMar>
      </w:tblPr>
      <w:tblGrid>
        <w:gridCol w:w="331"/>
        <w:gridCol w:w="2701"/>
      </w:tblGrid>
      <w:tr>
        <w:trPr/>
        <w:tc>
          <w:tcPr>
            <w:tcW w:w="33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w:t>
            </w:r>
          </w:p>
        </w:tc>
        <w:tc>
          <w:tcPr>
            <w:tcW w:w="270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Nature and purpose of reserves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movement of reserves and accumulated losses of the Group was set out as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19"/>
        <w:gridCol w:w="346"/>
        <w:gridCol w:w="1133"/>
        <w:gridCol w:w="346"/>
        <w:gridCol w:w="946"/>
        <w:gridCol w:w="346"/>
        <w:gridCol w:w="931"/>
        <w:gridCol w:w="346"/>
        <w:gridCol w:w="1192"/>
      </w:tblGrid>
      <w:tr>
        <w:trPr/>
        <w:tc>
          <w:tcPr>
            <w:tcW w:w="4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933065" cy="175260"/>
                      <wp:effectExtent l="0" t="0" r="0" b="0"/>
                      <wp:wrapNone/>
                      <wp:docPr id="316" name="Frame315"/>
                      <a:graphic xmlns:a="http://schemas.openxmlformats.org/drawingml/2006/main">
                        <a:graphicData uri="http://schemas.microsoft.com/office/word/2010/wordprocessingShape">
                          <wps:wsp>
                            <wps:cNvSpPr txBox="1"/>
                            <wps:spPr>
                              <a:xfrm>
                                <a:off x="0" y="0"/>
                                <a:ext cx="2933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19455" cy="175260"/>
                      <wp:effectExtent l="0" t="0" r="0" b="0"/>
                      <wp:wrapNone/>
                      <wp:docPr id="318" name="Frame317"/>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00710" cy="175260"/>
                      <wp:effectExtent l="0" t="0" r="0" b="0"/>
                      <wp:wrapNone/>
                      <wp:docPr id="320" name="Frame31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91185" cy="175260"/>
                      <wp:effectExtent l="0" t="0" r="0" b="0"/>
                      <wp:wrapNone/>
                      <wp:docPr id="322" name="Frame3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56920" cy="175260"/>
                      <wp:effectExtent l="0" t="0" r="0" b="0"/>
                      <wp:wrapNone/>
                      <wp:docPr id="324" name="Frame323"/>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Share-based </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pPr>
            <w:r>
              <w:rPr/>
              <w:t>​</w:t>
            </w:r>
          </w:p>
        </w:tc>
      </w:tr>
      <w:tr>
        <w:trPr/>
        <w:tc>
          <w:tcPr>
            <w:tcW w:w="46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46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reserves</w:t>
            </w:r>
          </w:p>
        </w:tc>
        <w:tc>
          <w:tcPr>
            <w:tcW w:w="346" w:type="dxa"/>
            <w:tcBorders/>
            <w:vAlign w:val="center"/>
          </w:tcPr>
          <w:p>
            <w:pPr>
              <w:pStyle w:val="TableContents"/>
              <w:bidi w:val="0"/>
              <w:spacing w:before="0" w:after="1"/>
              <w:ind w:left="0" w:right="0" w:hanging="0"/>
              <w:jc w:val="left"/>
              <w:rPr/>
            </w:pPr>
            <w:r>
              <w:rPr/>
              <w:t>​</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46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left"/>
              <w:rPr/>
            </w:pPr>
            <w:r>
              <w:rPr/>
              <w:t>  ​ ​ ​</w:t>
            </w:r>
          </w:p>
        </w:tc>
        <w:tc>
          <w:tcPr>
            <w:tcW w:w="94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1"/>
              <w:ind w:left="0" w:right="0" w:hanging="0"/>
              <w:jc w:val="left"/>
              <w:rPr/>
            </w:pPr>
            <w:r>
              <w:rPr/>
              <w:t>  ​ ​ ​</w:t>
            </w:r>
          </w:p>
        </w:tc>
        <w:tc>
          <w:tcPr>
            <w:tcW w:w="119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r>
      <w:tr>
        <w:trPr/>
        <w:tc>
          <w:tcPr>
            <w:tcW w:w="46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pPr>
            <w:r>
              <w:rPr/>
              <w:t>​</w:t>
            </w:r>
          </w:p>
        </w:tc>
      </w:tr>
      <w:tr>
        <w:trPr/>
        <w:tc>
          <w:tcPr>
            <w:tcW w:w="461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1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2,523,287</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(318,313)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1,018,848</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(10,286,252)</w:t>
            </w:r>
          </w:p>
        </w:tc>
      </w:tr>
      <w:tr>
        <w:trPr/>
        <w:tc>
          <w:tcPr>
            <w:tcW w:w="46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1"/>
              <w:ind w:left="0" w:right="0" w:hanging="0"/>
              <w:jc w:val="left"/>
              <w:rPr/>
            </w:pPr>
            <w:r>
              <w:rPr/>
              <w:t> </w:t>
            </w:r>
          </w:p>
        </w:tc>
        <w:tc>
          <w:tcPr>
            <w:tcW w:w="11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(789,750)</w:t>
            </w:r>
          </w:p>
        </w:tc>
      </w:tr>
      <w:tr>
        <w:trPr/>
        <w:tc>
          <w:tcPr>
            <w:tcW w:w="46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nil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11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(172,106)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pPr>
            <w:r>
              <w:rPr/>
              <w:t>—</w:t>
            </w:r>
          </w:p>
        </w:tc>
      </w:tr>
      <w:tr>
        <w:trPr/>
        <w:tc>
          <w:tcPr>
            <w:tcW w:w="46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vAlign w:val="center"/>
          </w:tcPr>
          <w:p>
            <w:pPr>
              <w:pStyle w:val="TableContents"/>
              <w:bidi w:val="0"/>
              <w:spacing w:before="0" w:after="1"/>
              <w:ind w:left="0" w:right="0" w:hanging="0"/>
              <w:jc w:val="left"/>
              <w:rPr/>
            </w:pPr>
            <w:r>
              <w:rPr/>
              <w:t> </w:t>
            </w:r>
          </w:p>
        </w:tc>
        <w:tc>
          <w:tcPr>
            <w:tcW w:w="11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119,210</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pPr>
            <w:r>
              <w:rPr/>
              <w:t>—</w:t>
            </w:r>
          </w:p>
        </w:tc>
      </w:tr>
      <w:tr>
        <w:trPr/>
        <w:tc>
          <w:tcPr>
            <w:tcW w:w="46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1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June 30, 2026</w:t>
            </w:r>
          </w:p>
        </w:tc>
        <w:tc>
          <w:tcPr>
            <w:tcW w:w="346" w:type="dxa"/>
            <w:tcBorders/>
            <w:vAlign w:val="center"/>
          </w:tcPr>
          <w:p>
            <w:pPr>
              <w:pStyle w:val="TableContents"/>
              <w:bidi w:val="0"/>
              <w:spacing w:before="0" w:after="1"/>
              <w:ind w:left="0" w:right="0" w:hanging="0"/>
              <w:jc w:val="left"/>
              <w:rPr/>
            </w:pPr>
            <w:r>
              <w:rPr/>
              <w:t> </w:t>
            </w:r>
          </w:p>
        </w:tc>
        <w:tc>
          <w:tcPr>
            <w:tcW w:w="11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2,642,497</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(490,419)</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1,018,848</w:t>
            </w:r>
          </w:p>
        </w:tc>
        <w:tc>
          <w:tcPr>
            <w:tcW w:w="346" w:type="dxa"/>
            <w:tcBorders/>
            <w:vAlign w:val="center"/>
          </w:tcPr>
          <w:p>
            <w:pPr>
              <w:pStyle w:val="TableContents"/>
              <w:bidi w:val="0"/>
              <w:spacing w:before="0" w:after="1"/>
              <w:ind w:left="0" w:right="0" w:hanging="0"/>
              <w:jc w:val="left"/>
              <w:rPr/>
            </w:pPr>
            <w:r>
              <w:rPr/>
              <w:t> </w:t>
            </w:r>
          </w:p>
        </w:tc>
        <w:tc>
          <w:tcPr>
            <w:tcW w:w="11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(11,076,002)</w:t>
            </w:r>
          </w:p>
        </w:tc>
      </w:tr>
    </w:tbl>
    <w:p>
      <w:pPr>
        <w:pStyle w:val="TextBody"/>
        <w:bidi w:val="0"/>
        <w:spacing w:before="0" w:after="240"/>
        <w:ind w:left="36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Share-based compensation reserve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share-based compensation reserve represents the portion of the grant date fair value of share options or restricted share units granted to the key management officers, employees and non-employees that has been recognized as share-based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w:t>
      </w:r>
      <w:r>
        <w:rPr>
          <w:rFonts w:ascii="Times New Roman;Times;serif" w:hAnsi="Times New Roman;Times;serif"/>
          <w:b/>
          <w:sz w:val="20"/>
        </w:rPr>
        <w:t>Translation reserve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exchange reserve comprises all foreign exchange differences arising from the translation of the financial statements of foreign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Other reserves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reserves represent the differences arising from the exercise of warrant liabilities measured at FVTPL to convertible redeemable preferred shares which are measured at present value of redemption amounts or non-redeemable preferred shares which are classified as equity, before the Company’s IPO.</w:t>
      </w:r>
    </w:p>
    <w:tbl>
      <w:tblPr>
        <w:tblW w:w="1322" w:type="dxa"/>
        <w:jc w:val="left"/>
        <w:tblInd w:w="0" w:type="dxa"/>
        <w:tblLayout w:type="fixed"/>
        <w:tblCellMar>
          <w:top w:w="0" w:type="dxa"/>
          <w:left w:w="0" w:type="dxa"/>
          <w:bottom w:w="0" w:type="dxa"/>
          <w:right w:w="0" w:type="dxa"/>
        </w:tblCellMar>
      </w:tblPr>
      <w:tblGrid>
        <w:gridCol w:w="346"/>
        <w:gridCol w:w="976"/>
      </w:tblGrid>
      <w:tr>
        <w:trPr/>
        <w:tc>
          <w:tcPr>
            <w:tcW w:w="3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w:t>
            </w:r>
          </w:p>
        </w:tc>
        <w:tc>
          <w:tcPr>
            <w:tcW w:w="97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Dividends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dividends have been declared or paid by the Company or the companies comprising the Group to its shareholders for the six months ended June 30, 2025 and 2026, respectively.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171" w:name="Tc_a7en7A-y4EuW-I2mMYUzwQ_7_0"/>
      <w:bookmarkStart w:id="1172" w:name="Tc_wgljwbAnGEusQRs85HeEOA_6_0"/>
      <w:bookmarkStart w:id="1173" w:name="Tc_EZeO7vku2EegB_uc4bhv0Q_5_0"/>
      <w:bookmarkStart w:id="1174" w:name="Tc_OxgIj6__IkOVhxWb1eTlMg_4_0"/>
      <w:bookmarkStart w:id="1175" w:name="Tc_2zscQa8z9ECIGKfHXNDHyg_3_2"/>
      <w:bookmarkStart w:id="1176" w:name="Tc_k32HzcEwSkqY1raFbw1j5A_2_2"/>
      <w:bookmarkStart w:id="1177" w:name="Tc__Nt5KYG-H0ew7kIVFpo-Vw_1_2"/>
      <w:bookmarkStart w:id="1178" w:name="Tc_8jwRHHq0YUuBvROzbSlJMQ_9_0"/>
      <w:bookmarkStart w:id="1179" w:name="Tc_0b9EdZM7IEG08KWxJLnjpg_8_0"/>
      <w:bookmarkStart w:id="1180" w:name="Tc_kBPgcaqkOE6k8bW33iwhPg_7_0"/>
      <w:bookmarkStart w:id="1181" w:name="Tc_SRip_uHxCkO36cIbpnPBIQ_6_0"/>
      <w:bookmarkStart w:id="1182" w:name="Tc_0J19X9i18EyVjpYOSBRlDQ_5_0"/>
      <w:bookmarkStart w:id="1183" w:name="Tc_6u7z2etfLkCOrFRCpNDsUQ_4_0"/>
      <w:bookmarkStart w:id="1184" w:name="Tc_UsBIIkhuQkKFtT_Bgs7z2Q_3_2"/>
      <w:bookmarkStart w:id="1185" w:name="Tc_buixXVav50KIYUHsf-drog_2_4"/>
      <w:bookmarkStart w:id="1186" w:name="Tc_N9FksQQBjU25a3OMTSlsEw_2_2"/>
      <w:bookmarkStart w:id="1187" w:name="Tc_nud704b6xEO7XOWEt-91sA_1_2"/>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b/>
          <w:i w:val="false"/>
          <w:caps w:val="false"/>
          <w:smallCaps w:val="false"/>
          <w:sz w:val="20"/>
        </w:rPr>
        <w:t>24</w:t>
      </w:r>
      <w:r>
        <w:rPr>
          <w:rFonts w:ascii="Times New Roman;Times;serif" w:hAnsi="Times New Roman;Times;serif"/>
          <w:b/>
          <w:sz w:val="20"/>
        </w:rPr>
        <w:t>SHARE-BASED COMPENSATION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2018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2018, the Board of Directors of the Company approved and adopted the 2018 Share Plan, under which the Company reserves 311,125,716 shares to grant share options or restricted share units for officers, directors, employees and non-employees.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(a)Share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 options granted under the 2018 Share Plan are generally subject to a time-based requirement of up to a four-year service schedule. All the share options granted under the 2018 Share Plan have a contractual term of ten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 options’ activities for the six months ended June 30, 2026 were summarized as follows:</w:t>
      </w:r>
    </w:p>
    <w:p>
      <w:pPr>
        <w:pStyle w:val="TextBody"/>
        <w:bidi w:val="0"/>
        <w:spacing w:before="0" w:after="0"/>
        <w:ind w:left="0" w:right="0" w:hanging="0"/>
        <w:jc w:val="left"/>
        <w:rPr/>
      </w:pPr>
      <w:r>
        <w:rPr/>
        <w:t>​</w:t>
      </w:r>
    </w:p>
    <w:tbl>
      <w:tblPr>
        <w:tblW w:w="6635" w:type="dxa"/>
        <w:jc w:val="left"/>
        <w:tblInd w:w="0" w:type="dxa"/>
        <w:tblLayout w:type="fixed"/>
        <w:tblCellMar>
          <w:top w:w="0" w:type="dxa"/>
          <w:left w:w="0" w:type="dxa"/>
          <w:bottom w:w="0" w:type="dxa"/>
          <w:right w:w="0" w:type="dxa"/>
        </w:tblCellMar>
      </w:tblPr>
      <w:tblGrid>
        <w:gridCol w:w="3016"/>
        <w:gridCol w:w="346"/>
        <w:gridCol w:w="1426"/>
        <w:gridCol w:w="346"/>
        <w:gridCol w:w="150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915160" cy="175260"/>
                      <wp:effectExtent l="0" t="0" r="0" b="0"/>
                      <wp:wrapNone/>
                      <wp:docPr id="325" name="Frame32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05510" cy="175260"/>
                      <wp:effectExtent l="0" t="0" r="0" b="0"/>
                      <wp:wrapNone/>
                      <wp:docPr id="327" name="Frame326"/>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53135" cy="175260"/>
                      <wp:effectExtent l="0" t="0" r="0" b="0"/>
                      <wp:wrapNone/>
                      <wp:docPr id="329" name="Frame328"/>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options</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95,160,657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(8,065)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(399,903)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0.8</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(3,850,311)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90,902,378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as of June 30, 2026</w:t>
            </w:r>
          </w:p>
        </w:tc>
        <w:tc>
          <w:tcPr>
            <w:tcW w:w="3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86,429,269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share options outstanding as of June 30, 2026 had weighted average remaining contractual life of 6.0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(b)Restricted share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Restricted share units granted under the 2018 Share Plan have a contractual term of seven years with varying time-based requirement of service period up to four years and a requirement of the closing of an IPO of the Company. No cash consideration is required of the recipient in connection with the grant of restricted share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 units’ activities for the six months ended June 30, 2026 were summarized as follows:</w:t>
      </w:r>
    </w:p>
    <w:p>
      <w:pPr>
        <w:pStyle w:val="TextBody"/>
        <w:bidi w:val="0"/>
        <w:spacing w:before="0" w:after="0"/>
        <w:ind w:left="0" w:right="0" w:hanging="0"/>
        <w:jc w:val="left"/>
        <w:rPr/>
      </w:pPr>
      <w:r>
        <w:rPr/>
        <w:t>​</w:t>
      </w:r>
    </w:p>
    <w:tbl>
      <w:tblPr>
        <w:tblW w:w="4503" w:type="dxa"/>
        <w:jc w:val="left"/>
        <w:tblInd w:w="0" w:type="dxa"/>
        <w:tblLayout w:type="fixed"/>
        <w:tblCellMar>
          <w:top w:w="0" w:type="dxa"/>
          <w:left w:w="0" w:type="dxa"/>
          <w:bottom w:w="0" w:type="dxa"/>
          <w:right w:w="0" w:type="dxa"/>
        </w:tblCellMar>
      </w:tblPr>
      <w:tblGrid>
        <w:gridCol w:w="3016"/>
        <w:gridCol w:w="346"/>
        <w:gridCol w:w="114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15160" cy="175260"/>
                      <wp:effectExtent l="0" t="0" r="0" b="0"/>
                      <wp:wrapNone/>
                      <wp:docPr id="330" name="Frame32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24535" cy="175260"/>
                      <wp:effectExtent l="0" t="0" r="0" b="0"/>
                      <wp:wrapNone/>
                      <wp:docPr id="332" name="Frame33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units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22,413,960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(1,388,733)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(1,931,136)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19,094,091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restricted share units outstanding as of June 30, 2026 had weighted average remaining contractual life of 5.6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188" w:name="Tc_iAZvNc602kaMap60YMcKGg_8_0"/>
      <w:bookmarkStart w:id="1189" w:name="Tc_MfvMtfev50SRiJYT7cdC0A_7_0"/>
      <w:bookmarkStart w:id="1190" w:name="Tc_9wh0Op8_-kW8UfKOMhitmQ_6_0"/>
      <w:bookmarkStart w:id="1191" w:name="Tc__iCGErD5wkibZhfdLd6lAw_5_0"/>
      <w:bookmarkStart w:id="1192" w:name="Tc_1mhmpTQbq0K0TBmce_cpvA_4_2"/>
      <w:bookmarkStart w:id="1193" w:name="Tc_RjVUdLudYkKt7-THMQe_5Q_4_0"/>
      <w:bookmarkStart w:id="1194" w:name="Tc_bAR5ef0GYUiffvucXMj0NA_3_2"/>
      <w:bookmarkStart w:id="1195" w:name="Tc_ZWNauKMY0EeC19YCjVZHng_2_2"/>
      <w:bookmarkStart w:id="1196" w:name="Tc_QtW8ZH_as0O_Nc9gKtCkcg_1_2"/>
      <w:bookmarkEnd w:id="1188"/>
      <w:bookmarkEnd w:id="1189"/>
      <w:bookmarkEnd w:id="1190"/>
      <w:bookmarkEnd w:id="1191"/>
      <w:bookmarkEnd w:id="1192"/>
      <w:bookmarkEnd w:id="1193"/>
      <w:bookmarkEnd w:id="1194"/>
      <w:bookmarkEnd w:id="1195"/>
      <w:bookmarkEnd w:id="1196"/>
      <w:r>
        <w:rPr>
          <w:rFonts w:ascii="Times New Roman;Times;serif" w:hAnsi="Times New Roman;Times;serif"/>
          <w:b/>
          <w:i w:val="false"/>
          <w:caps w:val="false"/>
          <w:smallCaps w:val="false"/>
          <w:sz w:val="20"/>
        </w:rPr>
        <w:t>24</w:t>
      </w:r>
      <w:r>
        <w:rPr>
          <w:rFonts w:ascii="Times New Roman;Times;serif" w:hAnsi="Times New Roman;Times;serif"/>
          <w:b/>
          <w:sz w:val="20"/>
        </w:rPr>
        <w:t>SHARE-BASED COMPENSATION ARRANGEMENTS (CONTINUED)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2026 Share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13, 2026, the Board of Directors of the Company approved and adopted the 2026 Share Plan to attract, incentivize and retain employees, directors and consultants through the grant of share options or restricted share units. The maximum number of shares (including treasury shares) which may be issued or transferred under the plan shall not exceed 10% of the total issued and outstanding ordinary shares of the Company on March 13, 2026. The share options and restricted share units granted under the 2026 Share Plan are generally subject to a time-based requirement of service schedule varying from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to five years, and all the share options and restricted share units granted under the 2026 Share Plan have a contractual term of ten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share units’ activities for the six months ended June 30, 2026 were summarized as follows:</w:t>
      </w:r>
    </w:p>
    <w:p>
      <w:pPr>
        <w:pStyle w:val="TextBody"/>
        <w:bidi w:val="0"/>
        <w:spacing w:before="0" w:after="0"/>
        <w:ind w:left="0" w:right="0" w:hanging="0"/>
        <w:jc w:val="left"/>
        <w:rPr/>
      </w:pPr>
      <w:r>
        <w:rPr/>
        <w:t>​</w:t>
      </w:r>
    </w:p>
    <w:tbl>
      <w:tblPr>
        <w:tblW w:w="4398" w:type="dxa"/>
        <w:jc w:val="left"/>
        <w:tblInd w:w="0" w:type="dxa"/>
        <w:tblLayout w:type="fixed"/>
        <w:tblCellMar>
          <w:top w:w="0" w:type="dxa"/>
          <w:left w:w="0" w:type="dxa"/>
          <w:bottom w:w="0" w:type="dxa"/>
          <w:right w:w="0" w:type="dxa"/>
        </w:tblCellMar>
      </w:tblPr>
      <w:tblGrid>
        <w:gridCol w:w="3016"/>
        <w:gridCol w:w="346"/>
        <w:gridCol w:w="103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915160" cy="175260"/>
                      <wp:effectExtent l="0" t="0" r="0" b="0"/>
                      <wp:wrapNone/>
                      <wp:docPr id="333" name="Frame332"/>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7860" cy="175260"/>
                      <wp:effectExtent l="0" t="0" r="0" b="0"/>
                      <wp:wrapNone/>
                      <wp:docPr id="335" name="Frame3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units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8,509,529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(822,300)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7,686,812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restricted share units outstanding as of June 30, 2026 had weighted average remaining contractual life of 9.6 years.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compensation expense calculated based on the grant date fair value and the estimated forfeiture rate recognized in the consolidated statement of profit or loss for the aforementioned share options and restricted share units granted was RMB119.2 million for the six months ended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7" w:name="Tc_6plWCiJg3UOdfbaiD3NExg_5_0"/>
      <w:bookmarkStart w:id="1198" w:name="Tc_XjJQEzVrhk2a84wNqLXulQ_4_0"/>
      <w:bookmarkStart w:id="1199" w:name="Tc_PKMp9xNWlkCQw93Gq7LOLw_3_8"/>
      <w:bookmarkStart w:id="1200" w:name="Tc_T4wkfyKXtU66oSjRSzNpJA_3_6"/>
      <w:bookmarkStart w:id="1201" w:name="Tc_ULtz7G6_hUOvve-goA50tw_3_4"/>
      <w:bookmarkStart w:id="1202" w:name="Tc_VICzTJW2AUWPdhCBlvMY3g_3_2"/>
      <w:bookmarkStart w:id="1203" w:name="Tc_CPZqRQTpkEmETz06sgMJsA_2_8"/>
      <w:bookmarkStart w:id="1204" w:name="Tc_bXQ6dK5Rn028VYPstZYjkA_2_6"/>
      <w:bookmarkStart w:id="1205" w:name="Tc_nti7zTPnfUOyUMivEXd5Cw_2_4"/>
      <w:bookmarkStart w:id="1206" w:name="Tc_1QtzwU0klUq59D-lU1uKVw_2_2"/>
      <w:bookmarkStart w:id="1207" w:name="Tc_YD0xZlllA0WMfE8Frwhlyw_2_0"/>
      <w:bookmarkStart w:id="1208" w:name="Tc_bLmkp2eGKk-mEiUuocGeMw_1_2"/>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Times;serif" w:hAnsi="Times New Roman;Times;serif"/>
          <w:b/>
          <w:i w:val="false"/>
          <w:caps w:val="false"/>
          <w:smallCaps w:val="false"/>
          <w:sz w:val="20"/>
        </w:rPr>
        <w:t>25</w:t>
      </w:r>
      <w:r>
        <w:rPr>
          <w:rFonts w:ascii="Times New Roman;Times;serif" w:hAnsi="Times New Roman;Times;serif"/>
          <w:b/>
          <w:sz w:val="20"/>
        </w:rPr>
        <w:t>FAIR VALUE OF FINANCIAL INSTRUMENTS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Fair value hierarchy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fair value of the Group’s financial instruments measured at the end of the period presented on a recurring basis, categorized into the three-level fair value hierarchy as defined in IFRS 13, </w:t>
      </w:r>
      <w:r>
        <w:rPr>
          <w:rFonts w:ascii="Times New Roman;Times;serif" w:hAnsi="Times New Roman;Times;serif"/>
          <w:i/>
          <w:sz w:val="20"/>
        </w:rPr>
        <w:t>Fair value measurement</w:t>
      </w:r>
      <w:r>
        <w:rPr>
          <w:rFonts w:ascii="Times New Roman;Times;serif" w:hAnsi="Times New Roman;Times;serif"/>
          <w:sz w:val="20"/>
        </w:rPr>
        <w:t>. The level into which a fair value measurement is classified is determined with reference to the observability and significance of the inputs used in the valuation technique as follows:</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Level 1 valuations: Fair value measured using only Level 1 inputs i.e. unadjusted quoted prices in active markets for identical assets or liabilities at the measurement date.</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Level 2 valuations: Fair value measured using Level 2 inputs i.e. observable inputs which fail to meet Level 1, and not using significant unobservable inputs. Unobservable inputs are inputs for which market data are not available.</w:t>
      </w:r>
    </w:p>
    <w:p>
      <w:pPr>
        <w:pStyle w:val="TextBody"/>
        <w:bidi w:val="0"/>
        <w:spacing w:before="0" w:after="240"/>
        <w:ind w:left="0" w:right="0" w:hanging="0"/>
        <w:jc w:val="left"/>
        <w:rPr/>
      </w:pPr>
      <w:r>
        <w:rPr>
          <w:caps w:val="false"/>
          <w:smallCaps w:val="false"/>
        </w:rPr>
        <w:t>•</w:t>
      </w:r>
      <w:r>
        <w:rPr>
          <w:rFonts w:ascii="Times New Roman;Times;serif" w:hAnsi="Times New Roman;Times;serif"/>
          <w:sz w:val="20"/>
        </w:rPr>
        <w:t>Level 3 valuations: Fair value measured using significant unobservable inputs.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Group’s financial assets and liabilities that are measured at fair value as of June 30, 2026:</w:t>
      </w:r>
    </w:p>
    <w:p>
      <w:pPr>
        <w:pStyle w:val="TextBody"/>
        <w:bidi w:val="0"/>
        <w:spacing w:before="0" w:after="0"/>
        <w:ind w:left="0" w:right="0" w:hanging="0"/>
        <w:jc w:val="left"/>
        <w:rPr/>
      </w:pPr>
      <w:r>
        <w:rPr/>
        <w:t>​</w:t>
      </w:r>
    </w:p>
    <w:tbl>
      <w:tblPr>
        <w:tblW w:w="7359" w:type="dxa"/>
        <w:jc w:val="left"/>
        <w:tblInd w:w="0" w:type="dxa"/>
        <w:tblLayout w:type="fixed"/>
        <w:tblCellMar>
          <w:top w:w="0" w:type="dxa"/>
          <w:left w:w="0" w:type="dxa"/>
          <w:bottom w:w="0" w:type="dxa"/>
          <w:right w:w="0" w:type="dxa"/>
        </w:tblCellMar>
      </w:tblPr>
      <w:tblGrid>
        <w:gridCol w:w="2611"/>
        <w:gridCol w:w="346"/>
        <w:gridCol w:w="856"/>
        <w:gridCol w:w="346"/>
        <w:gridCol w:w="811"/>
        <w:gridCol w:w="346"/>
        <w:gridCol w:w="811"/>
        <w:gridCol w:w="346"/>
        <w:gridCol w:w="88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57985" cy="175260"/>
                      <wp:effectExtent l="0" t="0" r="0" b="0"/>
                      <wp:wrapNone/>
                      <wp:docPr id="336" name="Frame33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43560" cy="175260"/>
                      <wp:effectExtent l="0" t="0" r="0" b="0"/>
                      <wp:wrapNone/>
                      <wp:docPr id="338" name="Frame33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14985" cy="175260"/>
                      <wp:effectExtent l="0" t="0" r="0" b="0"/>
                      <wp:wrapNone/>
                      <wp:docPr id="340" name="Frame33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14985" cy="175260"/>
                      <wp:effectExtent l="0" t="0" r="0" b="0"/>
                      <wp:wrapNone/>
                      <wp:docPr id="342" name="Frame34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62610" cy="175260"/>
                      <wp:effectExtent l="0" t="0" r="0" b="0"/>
                      <wp:wrapNone/>
                      <wp:docPr id="344" name="Frame3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4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Recurring fair value measurement</w:t>
            </w:r>
          </w:p>
        </w:tc>
        <w:tc>
          <w:tcPr>
            <w:tcW w:w="34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2611" w:type="dxa"/>
            <w:tcBorders/>
            <w:shd w:fill="CCEEFF" w:val="clear"/>
            <w:vAlign w:val="center"/>
          </w:tcPr>
          <w:p>
            <w:pPr>
              <w:pStyle w:val="TableContents"/>
              <w:bidi w:val="0"/>
              <w:spacing w:before="0" w:after="0"/>
              <w:ind w:left="0" w:right="0" w:hanging="0"/>
              <w:jc w:val="left"/>
              <w:rPr/>
            </w:pPr>
            <w:r>
              <w:rPr/>
              <w:t>–</w:t>
            </w:r>
            <w:r>
              <w:rPr>
                <w:rFonts w:ascii="Times New Roman;Times;serif" w:hAnsi="Times New Roman;Times;serif"/>
                <w:sz w:val="20"/>
              </w:rPr>
              <w:t>Financial assets at FVTPL</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254,704</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23,015</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229,396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bookmarkStart w:id="1209" w:name="Tc_2vB54nNtAUikOpMCz0QAPQ_6_0"/>
      <w:bookmarkStart w:id="1210" w:name="Tc_3Hp70kUSDEqvcocLrTN4eQ_5_0"/>
      <w:bookmarkStart w:id="1211" w:name="Tc_OeWTOMXVz0OKFr_A3uwOKA_4_12"/>
      <w:bookmarkStart w:id="1212" w:name="Tc_XMzb44q9Xkup2wbZy3UpnA_4_10"/>
      <w:bookmarkStart w:id="1213" w:name="Tc_tw7eOiLJDUC4OmUXEo5PBw_4_8"/>
      <w:bookmarkStart w:id="1214" w:name="Tc_s94ZCxig20OtwLBEoxNa0g_4_6"/>
      <w:bookmarkStart w:id="1215" w:name="Tc_D953JettnkKN3CWajzbINA_4_4"/>
      <w:bookmarkStart w:id="1216" w:name="Tc_jF1pLoA-YUKLWhskt3PpMA_4_2"/>
      <w:bookmarkStart w:id="1217" w:name="Tc_tL86LBJPJk6-4F_JobAtyA_3_12"/>
      <w:bookmarkStart w:id="1218" w:name="Tc_JAY29hteK0itBUtp9DvLcQ_3_10"/>
      <w:bookmarkStart w:id="1219" w:name="Tc_JEWe52Q2tkWHtIpvJNz2FQ_3_8"/>
      <w:bookmarkStart w:id="1220" w:name="Tc_WLvMcAKnL0-gKFCcO4FW7A_3_6"/>
      <w:bookmarkStart w:id="1221" w:name="Tc_TZmMU84EwEqF4C-wWdilTw_3_4"/>
      <w:bookmarkStart w:id="1222" w:name="Tc_RuoHVaYD50KTsoURxmcdQg_3_2"/>
      <w:bookmarkStart w:id="1223" w:name="Tc_YMhxeP6lDkSavRQTDSe1mA_2_12"/>
      <w:bookmarkStart w:id="1224" w:name="Tc_Evc_YlldJUWNtiYk9KOo4w_2_8"/>
      <w:bookmarkStart w:id="1225" w:name="Tc_KnJA0PEI3E6ttqog28mvTQ_2_2"/>
      <w:bookmarkStart w:id="1226" w:name="Tc_g1BMgT4H1UioFfeTxBAsXQ_1_2"/>
      <w:bookmarkStart w:id="1227" w:name="Tc_mj-6AiyZIEyySQVRl3iKEA_6_0"/>
      <w:bookmarkStart w:id="1228" w:name="Tc_eeJVFWNVtkiFq4lhirVdLg_5_4"/>
      <w:bookmarkStart w:id="1229" w:name="Tc_idyNwih4FUudsHnO1gsysw_5_0"/>
      <w:bookmarkStart w:id="1230" w:name="Tc_qZtqgC-WlEyA_BMbQoJmNw_4_0"/>
      <w:bookmarkStart w:id="1231" w:name="Tc_XJkU7vd0TEyYAdEMBYSXhw_3_4"/>
      <w:bookmarkStart w:id="1232" w:name="Tc_E1wM1y2H2k-6GoSzMzCUBg_3_2"/>
      <w:bookmarkStart w:id="1233" w:name="Tc_54IrrskKTEeIQkBWLvbqCA_2_4"/>
      <w:bookmarkStart w:id="1234" w:name="Tc_AXk1dIRgOUGKa4HdpHp6kg_2_2"/>
      <w:bookmarkStart w:id="1235" w:name="Tc__7qFDMD2NEKRtPIhe64S1w_1_4"/>
      <w:bookmarkStart w:id="1236" w:name="Tc_DsLB0ofAnEmBL3nzwPzjwA_1_2"/>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Times New Roman;Times;serif" w:hAnsi="Times New Roman;Times;serif"/>
          <w:b/>
          <w:i w:val="false"/>
          <w:caps w:val="false"/>
          <w:smallCaps w:val="false"/>
          <w:sz w:val="20"/>
        </w:rPr>
        <w:t>25</w:t>
      </w:r>
      <w:r>
        <w:rPr>
          <w:rFonts w:ascii="Times New Roman;Times;serif" w:hAnsi="Times New Roman;Times;serif"/>
          <w:b/>
          <w:sz w:val="20"/>
        </w:rPr>
        <w:t>FAIR VALUE OF FINANCIAL INSTRUMENTS (CONTINUED)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For the periods presented, there were no transfers between Level 1 and Level 2, or transfers into or out of Level 3. The Group’s policy is to recognize transfers between levels of fair value hierarchy as at the end of the periods presented in which they occur.</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Financial instruments in level 2</w:t>
      </w:r>
    </w:p>
    <w:p>
      <w:pPr>
        <w:pStyle w:val="TextBody"/>
        <w:bidi w:val="0"/>
        <w:spacing w:before="0" w:after="220"/>
        <w:ind w:left="0" w:right="0" w:hanging="0"/>
        <w:jc w:val="left"/>
        <w:rPr>
          <w:rFonts w:ascii="Times New Roman;Times;serif" w:hAnsi="Times New Roman;Times;serif"/>
          <w:i/>
          <w:sz w:val="20"/>
        </w:rPr>
      </w:pPr>
      <w:r>
        <w:rPr>
          <w:rFonts w:ascii="Times New Roman;Times;serif" w:hAnsi="Times New Roman;Times;serif"/>
          <w:i/>
          <w:sz w:val="20"/>
        </w:rPr>
        <w:t>Financial assets at FVTPL in Level 2</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fair value of the financial assets in Level 2 is determined based on the unit price published on the counterparty bank’s or financial institution’s websites. The published unit price is the unit price at which a holder could redeem the fund units at the end of each period presented.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Financial assets at FVTPL in Level 2 consisted of the following:</w:t>
      </w:r>
    </w:p>
    <w:p>
      <w:pPr>
        <w:pStyle w:val="TextBody"/>
        <w:bidi w:val="0"/>
        <w:spacing w:before="0" w:after="0"/>
        <w:ind w:left="0" w:right="0" w:hanging="0"/>
        <w:jc w:val="left"/>
        <w:rPr/>
      </w:pPr>
      <w:r>
        <w:rPr/>
        <w:t>​</w:t>
      </w:r>
    </w:p>
    <w:tbl>
      <w:tblPr>
        <w:tblW w:w="6035" w:type="dxa"/>
        <w:jc w:val="left"/>
        <w:tblInd w:w="0" w:type="dxa"/>
        <w:tblLayout w:type="fixed"/>
        <w:tblCellMar>
          <w:top w:w="0" w:type="dxa"/>
          <w:left w:w="0" w:type="dxa"/>
          <w:bottom w:w="0" w:type="dxa"/>
          <w:right w:w="0" w:type="dxa"/>
        </w:tblCellMar>
      </w:tblPr>
      <w:tblGrid>
        <w:gridCol w:w="2566"/>
        <w:gridCol w:w="346"/>
        <w:gridCol w:w="1546"/>
        <w:gridCol w:w="346"/>
        <w:gridCol w:w="123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629410" cy="175260"/>
                      <wp:effectExtent l="0" t="0" r="0" b="0"/>
                      <wp:wrapNone/>
                      <wp:docPr id="345" name="Frame344"/>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981710" cy="175260"/>
                      <wp:effectExtent l="0" t="0" r="0" b="0"/>
                      <wp:wrapNone/>
                      <wp:docPr id="347" name="Frame34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81685" cy="175260"/>
                      <wp:effectExtent l="0" t="0" r="0" b="0"/>
                      <wp:wrapNone/>
                      <wp:docPr id="349" name="Frame34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center"/>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 </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cost basis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82,323</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2,293</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unrealized holding gain</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61,929</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Aggregate 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144,252</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2,293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tables below reflect the reconciliation from the opening balance to the closing balance for recurring fair value measurements of the fair value hierarchy for the reporting period presented:</w:t>
      </w:r>
    </w:p>
    <w:p>
      <w:pPr>
        <w:pStyle w:val="TextBody"/>
        <w:bidi w:val="0"/>
        <w:spacing w:before="0" w:after="0"/>
        <w:ind w:left="0" w:right="0" w:hanging="0"/>
        <w:jc w:val="left"/>
        <w:rPr/>
      </w:pPr>
      <w:r>
        <w:rPr/>
        <w:t>​</w:t>
      </w:r>
    </w:p>
    <w:tbl>
      <w:tblPr>
        <w:tblW w:w="9583" w:type="dxa"/>
        <w:jc w:val="left"/>
        <w:tblInd w:w="0" w:type="dxa"/>
        <w:tblLayout w:type="fixed"/>
        <w:tblCellMar>
          <w:top w:w="0" w:type="dxa"/>
          <w:left w:w="0" w:type="dxa"/>
          <w:bottom w:w="0" w:type="dxa"/>
          <w:right w:w="0" w:type="dxa"/>
        </w:tblCellMar>
      </w:tblPr>
      <w:tblGrid>
        <w:gridCol w:w="2221"/>
        <w:gridCol w:w="346"/>
        <w:gridCol w:w="901"/>
        <w:gridCol w:w="346"/>
        <w:gridCol w:w="811"/>
        <w:gridCol w:w="346"/>
        <w:gridCol w:w="901"/>
        <w:gridCol w:w="346"/>
        <w:gridCol w:w="946"/>
        <w:gridCol w:w="346"/>
        <w:gridCol w:w="871"/>
        <w:gridCol w:w="346"/>
        <w:gridCol w:w="85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10335" cy="175260"/>
                      <wp:effectExtent l="0" t="0" r="0" b="0"/>
                      <wp:wrapNone/>
                      <wp:docPr id="350" name="Frame349"/>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72135" cy="175260"/>
                      <wp:effectExtent l="0" t="0" r="0" b="0"/>
                      <wp:wrapNone/>
                      <wp:docPr id="352" name="Frame35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14985" cy="175260"/>
                      <wp:effectExtent l="0" t="0" r="0" b="0"/>
                      <wp:wrapNone/>
                      <wp:docPr id="354" name="Frame35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72135" cy="175260"/>
                      <wp:effectExtent l="0" t="0" r="0" b="0"/>
                      <wp:wrapNone/>
                      <wp:docPr id="356" name="Frame3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00710" cy="175260"/>
                      <wp:effectExtent l="0" t="0" r="0" b="0"/>
                      <wp:wrapNone/>
                      <wp:docPr id="358" name="Frame35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53085" cy="175260"/>
                      <wp:effectExtent l="0" t="0" r="0" b="0"/>
                      <wp:wrapNone/>
                      <wp:docPr id="360" name="Frame35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43560" cy="175260"/>
                      <wp:effectExtent l="0" t="0" r="0" b="0"/>
                      <wp:wrapNone/>
                      <wp:docPr id="362" name="Frame36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1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Included in</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FX impact</w:t>
            </w:r>
          </w:p>
        </w:tc>
        <w:tc>
          <w:tcPr>
            <w:tcW w:w="346" w:type="dxa"/>
            <w:tcBorders/>
            <w:vAlign w:val="center"/>
          </w:tcPr>
          <w:p>
            <w:pPr>
              <w:pStyle w:val="TableContents"/>
              <w:bidi w:val="0"/>
              <w:spacing w:before="0" w:after="0"/>
              <w:ind w:left="0" w:right="0" w:hanging="0"/>
              <w:jc w:val="center"/>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FVTPL</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144,252</w:t>
            </w:r>
          </w:p>
        </w:tc>
        <w:tc>
          <w:tcPr>
            <w:tcW w:w="34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35,001</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(175,387)</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1,171</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(2,744)</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2,293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instruments in level 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Financial assets at FVTPL in Level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in level 3 assets at FVTPL represented equity investments in unlisted private funds. The fair values of the private funds in Chinese Mainland and one of the overseas private funds are determined by using the recent transaction approach, under which, the significant unobservable input is recent transaction prices. The fair value changes for these funds were inconsequential for the six months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237" w:name="Tc_0aA2XllkoUCwL4OxMhrMjw_6_6"/>
      <w:bookmarkStart w:id="1238" w:name="Tc_qb1KGFSE1ki4Csi6p4aZuA_6_0"/>
      <w:bookmarkStart w:id="1239" w:name="Tc_b4FcmzhEa0O_tFvBjbsDzw_5_0"/>
      <w:bookmarkStart w:id="1240" w:name="Tc_YXctNmYqlUGjQkRxfIL_hA_4_12"/>
      <w:bookmarkStart w:id="1241" w:name="Tc_AO1atWQwaUi-lu_ePlGMyw_4_10"/>
      <w:bookmarkStart w:id="1242" w:name="Tc_peiT-DGdWE-8ntvxsec0wg_4_8"/>
      <w:bookmarkStart w:id="1243" w:name="Tc_hY23ehePZ0SfVzOCAOSU-w_4_6"/>
      <w:bookmarkStart w:id="1244" w:name="Tc_VAFBmuV6GUmkSdikxwk9JA_4_4"/>
      <w:bookmarkStart w:id="1245" w:name="Tc_cqaC39GdG06_aJrhVWGzPg_4_2"/>
      <w:bookmarkStart w:id="1246" w:name="Tc_fV1sBDCwOkKq5w-ZWUtwqA_3_12"/>
      <w:bookmarkStart w:id="1247" w:name="Tc_mVYncUTBWU-69y5BGfxruw_3_10"/>
      <w:bookmarkStart w:id="1248" w:name="Tc_bs9HRmRtBECQPXXNIsfcEA_3_8"/>
      <w:bookmarkStart w:id="1249" w:name="Tc_dgtxmaItTUip2j1diXQoaQ_3_6"/>
      <w:bookmarkStart w:id="1250" w:name="Tc_ZGRzr-KSQkmsKXKFqIgjZQ_3_4"/>
      <w:bookmarkStart w:id="1251" w:name="Tc_Vxxo3KZx30W05NpISpdH6Q_3_2"/>
      <w:bookmarkStart w:id="1252" w:name="Tc_EbMalzDjqkK7CHDEXpV9hg_2_12"/>
      <w:bookmarkStart w:id="1253" w:name="Tc_FyGmetQs0kONWm_W2btyjA_2_8"/>
      <w:bookmarkStart w:id="1254" w:name="Tc_hSs1zc-4zEWkntPWZWmH2Q_2_2"/>
      <w:bookmarkStart w:id="1255" w:name="Tc_1l-VPveJt0mblfC8wfAJtw_1_2"/>
      <w:bookmarkStart w:id="1256" w:name="Tc_F0YYGs0kQ0uYsHQ5gvfJjA_8_9"/>
      <w:bookmarkStart w:id="1257" w:name="Tc_LvrUp3RuyEeac8jzmZpz2A_8_8"/>
      <w:bookmarkStart w:id="1258" w:name="Tc_wsEXJ8QvaUSNLDgnIYNxSA_8_6"/>
      <w:bookmarkStart w:id="1259" w:name="Tc_N0HdrrNAjkCZCvFbhIDT-A_8_4"/>
      <w:bookmarkStart w:id="1260" w:name="Tc_TH9IzjQ5dEaZVcQBJKblFQ_8_0"/>
      <w:bookmarkStart w:id="1261" w:name="Tc_G6QTiGQKWEatDY7OilQ_Og_7_0"/>
      <w:bookmarkStart w:id="1262" w:name="Tc_AsOFcaEVmE2IqqcatRpiiw_6_10"/>
      <w:bookmarkStart w:id="1263" w:name="Tc_ud_miRszEkaaWN4F5qOv-g_6_2"/>
      <w:bookmarkStart w:id="1264" w:name="Tc_0xxf8290Okis9mP1aETKhQ_5_10"/>
      <w:bookmarkStart w:id="1265" w:name="Tc_dqUWIHpcpUKscbYHSC1kgw_5_8"/>
      <w:bookmarkStart w:id="1266" w:name="Tc_hJUHtbAlUkyeMKG9HZmnUQ_5_6"/>
      <w:bookmarkStart w:id="1267" w:name="Tc_zNPBY1YXekK712KjoJxd1Q_5_4"/>
      <w:bookmarkStart w:id="1268" w:name="Tc_xGZrLGnqxUi34qzRLxASew_5_2"/>
      <w:bookmarkStart w:id="1269" w:name="Tc_71RosrA-v0GACxoy4MREvg_5_0"/>
      <w:bookmarkStart w:id="1270" w:name="Tc_96qD8zXxj0eJAwTeXzcX3g_4_10"/>
      <w:bookmarkStart w:id="1271" w:name="Tc_kopQotjLzkKUrHesAeOJ8A_4_8"/>
      <w:bookmarkStart w:id="1272" w:name="Tc_hT00ckTAeUmV9sYOIKtHDw_4_6"/>
      <w:bookmarkStart w:id="1273" w:name="Tc_zLFdYS5GkEigVacjPvQSew_4_4"/>
      <w:bookmarkStart w:id="1274" w:name="Tc_sGe9-8CIoU2VsIwqDY6Niw_4_2"/>
      <w:bookmarkStart w:id="1275" w:name="Tc_clXRrurbh0ydp0ZXSTLfUA_3_10"/>
      <w:bookmarkStart w:id="1276" w:name="Tc_CZrHdmZPYkSCwTE0ySifAA_3_8"/>
      <w:bookmarkStart w:id="1277" w:name="Tc_D1PlrA3-nU6yfv_40uWtpQ_2_10"/>
      <w:bookmarkStart w:id="1278" w:name="Tc_Gh1qbEIdaU2aQTx28fvTGg_2_8"/>
      <w:bookmarkStart w:id="1279" w:name="Tc_tiNTJYt78UyOdnE0bJ6yQw_1_10"/>
      <w:bookmarkStart w:id="1280" w:name="_74efcdd1_673b_41c5_851a_1bf7a64258b3"/>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ascii="Times New Roman;Times;serif" w:hAnsi="Times New Roman;Times;serif"/>
          <w:b/>
          <w:i w:val="false"/>
          <w:caps w:val="false"/>
          <w:smallCaps w:val="false"/>
          <w:sz w:val="20"/>
        </w:rPr>
        <w:t>25</w:t>
      </w:r>
      <w:r>
        <w:rPr>
          <w:rFonts w:ascii="Times New Roman;Times;serif" w:hAnsi="Times New Roman;Times;serif"/>
          <w:b/>
          <w:sz w:val="20"/>
        </w:rPr>
        <w:t>FAIR VALUE OF FINANCIAL INSTRUMENTS (CONTINUED)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Fair value hierarchy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the other overseas private fund is determined based on the net asset values of the investments in unlisted private funds reported to the limited partners by the general partners at the end of the reporting period. The quantitative information of the significant unobservable input and description of valuation techniques used in Level 3 fair value measurement for the overseas fund, including the description of the sensitivity to changes in unobservable inputs for recurring Level 3 fair value measurements,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76"/>
        <w:gridCol w:w="346"/>
        <w:gridCol w:w="1246"/>
        <w:gridCol w:w="346"/>
        <w:gridCol w:w="1624"/>
        <w:gridCol w:w="346"/>
        <w:gridCol w:w="1233"/>
        <w:gridCol w:w="346"/>
        <w:gridCol w:w="969"/>
        <w:gridCol w:w="361"/>
        <w:gridCol w:w="1112"/>
      </w:tblGrid>
      <w:tr>
        <w:trPr/>
        <w:tc>
          <w:tcPr>
            <w:tcW w:w="2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45260" cy="175260"/>
                      <wp:effectExtent l="0" t="0" r="0" b="0"/>
                      <wp:wrapNone/>
                      <wp:docPr id="363" name="Frame362"/>
                      <a:graphic xmlns:a="http://schemas.openxmlformats.org/drawingml/2006/main">
                        <a:graphicData uri="http://schemas.microsoft.com/office/word/2010/wordprocessingShape">
                          <wps:wsp>
                            <wps:cNvSpPr txBox="1"/>
                            <wps:spPr>
                              <a:xfrm>
                                <a:off x="0" y="0"/>
                                <a:ext cx="144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91210" cy="175260"/>
                      <wp:effectExtent l="0" t="0" r="0" b="0"/>
                      <wp:wrapNone/>
                      <wp:docPr id="365" name="Frame36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031240" cy="175260"/>
                      <wp:effectExtent l="0" t="0" r="0" b="0"/>
                      <wp:wrapNone/>
                      <wp:docPr id="367" name="Frame366"/>
                      <a:graphic xmlns:a="http://schemas.openxmlformats.org/drawingml/2006/main">
                        <a:graphicData uri="http://schemas.microsoft.com/office/word/2010/wordprocessingShape">
                          <wps:wsp>
                            <wps:cNvSpPr txBox="1"/>
                            <wps:spPr>
                              <a:xfrm>
                                <a:off x="0" y="0"/>
                                <a:ext cx="1031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82955" cy="175260"/>
                      <wp:effectExtent l="0" t="0" r="0" b="0"/>
                      <wp:wrapNone/>
                      <wp:docPr id="369" name="Frame368"/>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15315" cy="175260"/>
                      <wp:effectExtent l="0" t="0" r="0" b="0"/>
                      <wp:wrapNone/>
                      <wp:docPr id="371" name="Frame370"/>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29235" cy="175260"/>
                      <wp:effectExtent l="0" t="0" r="0" b="0"/>
                      <wp:wrapNone/>
                      <wp:docPr id="372" name="Frame3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706120" cy="175260"/>
                      <wp:effectExtent l="0" t="0" r="0" b="0"/>
                      <wp:wrapNone/>
                      <wp:docPr id="373" name="Frame372"/>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color w:val="231F20"/>
              </w:rPr>
            </w:pPr>
            <w:r>
              <w:rPr>
                <w:color w:val="231F20"/>
              </w:rPr>
              <w:t>  ​ ​ ​</w:t>
            </w:r>
          </w:p>
        </w:tc>
        <w:tc>
          <w:tcPr>
            <w:tcW w:w="1624" w:type="dxa"/>
            <w:tcBorders/>
            <w:vAlign w:val="center"/>
          </w:tcPr>
          <w:p>
            <w:pPr>
              <w:pStyle w:val="TableContents"/>
              <w:bidi w:val="0"/>
              <w:spacing w:before="0" w:after="0"/>
              <w:ind w:left="0" w:right="0" w:hanging="0"/>
              <w:jc w:val="right"/>
              <w:rPr>
                <w:color w:val="231F20"/>
              </w:rPr>
            </w:pPr>
            <w:r>
              <w:rPr>
                <w:color w:val="231F20"/>
              </w:rPr>
              <w:t>  ​ ​ ​</w:t>
            </w:r>
          </w:p>
        </w:tc>
        <w:tc>
          <w:tcPr>
            <w:tcW w:w="346" w:type="dxa"/>
            <w:tcBorders/>
            <w:vAlign w:val="center"/>
          </w:tcPr>
          <w:p>
            <w:pPr>
              <w:pStyle w:val="TableContents"/>
              <w:bidi w:val="0"/>
              <w:spacing w:before="0" w:after="0"/>
              <w:ind w:left="0" w:right="0" w:hanging="0"/>
              <w:jc w:val="left"/>
              <w:rPr/>
            </w:pPr>
            <w:r>
              <w:rPr/>
              <w:t>  ​ ​ ​</w:t>
            </w:r>
          </w:p>
        </w:tc>
        <w:tc>
          <w:tcPr>
            <w:tcW w:w="1233"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969"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left"/>
              <w:rPr>
                <w:color w:val="231F20"/>
              </w:rPr>
            </w:pPr>
            <w:r>
              <w:rPr>
                <w:color w:val="231F20"/>
              </w:rPr>
              <w:t>  ​ ​ ​</w:t>
            </w:r>
          </w:p>
        </w:tc>
        <w:tc>
          <w:tcPr>
            <w:tcW w:w="1112"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Sensitivity of</w:t>
            </w:r>
          </w:p>
        </w:tc>
      </w:tr>
      <w:tr>
        <w:trPr/>
        <w:tc>
          <w:tcPr>
            <w:tcW w:w="22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624"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Range</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fair value</w:t>
            </w:r>
          </w:p>
        </w:tc>
      </w:tr>
      <w:tr>
        <w:trPr/>
        <w:tc>
          <w:tcPr>
            <w:tcW w:w="22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624"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(weighted</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to changes in</w:t>
            </w:r>
          </w:p>
        </w:tc>
      </w:tr>
      <w:tr>
        <w:trPr/>
        <w:tc>
          <w:tcPr>
            <w:tcW w:w="22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Fair value as of</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624"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Valuation</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233"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average,</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unobservable</w:t>
            </w:r>
          </w:p>
        </w:tc>
      </w:tr>
      <w:tr>
        <w:trPr/>
        <w:tc>
          <w:tcPr>
            <w:tcW w:w="2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31F20"/>
                <w:sz w:val="16"/>
              </w:rPr>
            </w:pPr>
            <w:r>
              <w:rPr>
                <w:rFonts w:ascii="Times New Roman;Times;serif" w:hAnsi="Times New Roman;Times;serif"/>
                <w:b/>
                <w:color w:val="231F20"/>
                <w:sz w:val="16"/>
              </w:rPr>
              <w:t>Description</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2026</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6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techniques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if applicable)</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inputs</w:t>
            </w:r>
          </w:p>
        </w:tc>
      </w:tr>
      <w:tr>
        <w:trPr/>
        <w:tc>
          <w:tcPr>
            <w:tcW w:w="22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1624"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color w:val="231F20"/>
              </w:rPr>
            </w:pPr>
            <w:r>
              <w:rPr>
                <w:color w:val="231F20"/>
              </w:rPr>
              <w:t>​</w:t>
            </w:r>
          </w:p>
        </w:tc>
        <w:tc>
          <w:tcPr>
            <w:tcW w:w="1112"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RMB’000</w:t>
            </w:r>
          </w:p>
        </w:tc>
      </w:tr>
      <w:tr>
        <w:trPr/>
        <w:tc>
          <w:tcPr>
            <w:tcW w:w="227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Financial assets measured at FVTPL</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 </w:t>
            </w:r>
          </w:p>
        </w:tc>
        <w:tc>
          <w:tcPr>
            <w:tcW w:w="1624"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3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2276" w:type="dxa"/>
            <w:tcBorders/>
            <w:vAlign w:val="center"/>
          </w:tcPr>
          <w:p>
            <w:pPr>
              <w:pStyle w:val="TableContents"/>
              <w:bidi w:val="0"/>
              <w:spacing w:before="0" w:after="0"/>
              <w:ind w:left="0" w:right="0" w:hanging="0"/>
              <w:jc w:val="left"/>
              <w:rPr>
                <w:color w:val="231F20"/>
              </w:rPr>
            </w:pPr>
            <w:r>
              <w:rPr>
                <w:color w:val="231F20"/>
              </w:rPr>
              <w:t xml:space="preserve">– </w:t>
            </w:r>
            <w:r>
              <w:rPr>
                <w:rFonts w:ascii="Times New Roman;Times;serif" w:hAnsi="Times New Roman;Times;serif"/>
                <w:color w:val="231F20"/>
                <w:sz w:val="20"/>
              </w:rPr>
              <w:t>Investments in private funds</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72,863</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b w:val="false"/>
                <w:i w:val="false"/>
                <w:caps w:val="false"/>
                <w:smallCaps w:val="false"/>
                <w:color w:val="231F20"/>
                <w:sz w:val="20"/>
              </w:rPr>
              <w:t>Net asset</w:t>
            </w:r>
            <w:r>
              <w:rPr>
                <w:rFonts w:ascii="Times New Roman;Times;serif" w:hAnsi="Times New Roman;Times;serif"/>
                <w:color w:val="231F20"/>
                <w:sz w:val="20"/>
              </w:rPr>
              <w:t xml:space="preserve"> value approach</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1233" w:type="dxa"/>
            <w:tcBorders/>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Net asset value</w:t>
            </w:r>
          </w:p>
        </w:tc>
        <w:tc>
          <w:tcPr>
            <w:tcW w:w="346" w:type="dxa"/>
            <w:tcBorders/>
            <w:vAlign w:val="center"/>
          </w:tcPr>
          <w:p>
            <w:pPr>
              <w:pStyle w:val="TableContents"/>
              <w:bidi w:val="0"/>
              <w:spacing w:before="0" w:after="0"/>
              <w:ind w:left="0" w:right="0" w:hanging="0"/>
              <w:jc w:val="left"/>
              <w:rPr>
                <w:color w:val="231F20"/>
              </w:rPr>
            </w:pPr>
            <w:r>
              <w:rPr>
                <w:color w:val="231F20"/>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231F20"/>
                <w:sz w:val="20"/>
              </w:rPr>
              <w:t>+/</w:t>
            </w:r>
            <w:r>
              <w:rPr>
                <w:rFonts w:ascii="Times New Roman;Times;serif" w:hAnsi="Times New Roman;Times;serif"/>
                <w:b w:val="false"/>
                <w:i w:val="false"/>
                <w:caps w:val="false"/>
                <w:smallCaps w:val="false"/>
                <w:color w:val="231F20"/>
                <w:sz w:val="20"/>
              </w:rPr>
              <w:t>-</w:t>
            </w:r>
            <w:r>
              <w:rPr>
                <w:rFonts w:ascii="Times New Roman;Times;serif" w:hAnsi="Times New Roman;Times;serif"/>
                <w:color w:val="231F20"/>
                <w:sz w:val="20"/>
              </w:rPr>
              <w:t xml:space="preserve"> 5</w:t>
            </w:r>
          </w:p>
        </w:tc>
        <w:tc>
          <w:tcPr>
            <w:tcW w:w="36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w:t>
            </w:r>
          </w:p>
        </w:tc>
        <w:tc>
          <w:tcPr>
            <w:tcW w:w="1112" w:type="dxa"/>
            <w:tcBorders/>
            <w:vAlign w:val="center"/>
          </w:tcPr>
          <w:p>
            <w:pPr>
              <w:pStyle w:val="TableContents"/>
              <w:bidi w:val="0"/>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3,643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reflects the reconciliation from the opening balance to the closing balance for recurring fair value measurements of the fair value hierarchy for the period presented:</w:t>
      </w:r>
    </w:p>
    <w:p>
      <w:pPr>
        <w:pStyle w:val="TextBody"/>
        <w:bidi w:val="0"/>
        <w:spacing w:before="0" w:after="0"/>
        <w:ind w:left="0" w:right="0" w:hanging="0"/>
        <w:jc w:val="left"/>
        <w:rPr/>
      </w:pPr>
      <w:r>
        <w:rPr/>
        <w:t>​</w:t>
      </w:r>
    </w:p>
    <w:tbl>
      <w:tblPr>
        <w:tblW w:w="9478" w:type="dxa"/>
        <w:jc w:val="left"/>
        <w:tblInd w:w="0" w:type="dxa"/>
        <w:tblLayout w:type="fixed"/>
        <w:tblCellMar>
          <w:top w:w="0" w:type="dxa"/>
          <w:left w:w="0" w:type="dxa"/>
          <w:bottom w:w="0" w:type="dxa"/>
          <w:right w:w="0" w:type="dxa"/>
        </w:tblCellMar>
      </w:tblPr>
      <w:tblGrid>
        <w:gridCol w:w="2221"/>
        <w:gridCol w:w="346"/>
        <w:gridCol w:w="901"/>
        <w:gridCol w:w="346"/>
        <w:gridCol w:w="811"/>
        <w:gridCol w:w="346"/>
        <w:gridCol w:w="811"/>
        <w:gridCol w:w="346"/>
        <w:gridCol w:w="901"/>
        <w:gridCol w:w="346"/>
        <w:gridCol w:w="871"/>
        <w:gridCol w:w="346"/>
        <w:gridCol w:w="88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10335" cy="175260"/>
                      <wp:effectExtent l="0" t="0" r="0" b="0"/>
                      <wp:wrapNone/>
                      <wp:docPr id="374" name="Frame373"/>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72135" cy="175260"/>
                      <wp:effectExtent l="0" t="0" r="0" b="0"/>
                      <wp:wrapNone/>
                      <wp:docPr id="376" name="Frame3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14985" cy="175260"/>
                      <wp:effectExtent l="0" t="0" r="0" b="0"/>
                      <wp:wrapNone/>
                      <wp:docPr id="378" name="Frame3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14985" cy="175260"/>
                      <wp:effectExtent l="0" t="0" r="0" b="0"/>
                      <wp:wrapNone/>
                      <wp:docPr id="380" name="Frame37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72135" cy="175260"/>
                      <wp:effectExtent l="0" t="0" r="0" b="0"/>
                      <wp:wrapNone/>
                      <wp:docPr id="382" name="Frame38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53085" cy="175260"/>
                      <wp:effectExtent l="0" t="0" r="0" b="0"/>
                      <wp:wrapNone/>
                      <wp:docPr id="384" name="Frame38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62610" cy="175260"/>
                      <wp:effectExtent l="0" t="0" r="0" b="0"/>
                      <wp:wrapNone/>
                      <wp:docPr id="386" name="Frame3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Included in</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w:t>
            </w:r>
          </w:p>
        </w:tc>
        <w:tc>
          <w:tcPr>
            <w:tcW w:w="346" w:type="dxa"/>
            <w:tcBorders/>
            <w:vAlign w:val="center"/>
          </w:tcPr>
          <w:p>
            <w:pPr>
              <w:pStyle w:val="TableContents"/>
              <w:bidi w:val="0"/>
              <w:spacing w:before="0" w:after="0"/>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FX impact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at FVTPL</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151,309</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74,862</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(2,474)</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229,396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(i)Fair value of financial assets and liabilities carried at other than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of the Group’s financial instruments carried at cost or amortized cost are not materially different from their fair values as of December 31, 2025 and June 30, 2026,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20"/>
        <w:ind w:left="0" w:right="0" w:hanging="0"/>
        <w:jc w:val="left"/>
        <w:rPr>
          <w:rFonts w:ascii="Times New Roman;Times;serif" w:hAnsi="Times New Roman;Times;serif"/>
          <w:b/>
          <w:sz w:val="20"/>
        </w:rPr>
      </w:pPr>
      <w:bookmarkStart w:id="1281" w:name="_1d36b651_6976_45ed_96f0_2684a042151f"/>
      <w:bookmarkStart w:id="1282" w:name="Tc_EfhV757vpUGr4xinhercng_5_0"/>
      <w:bookmarkStart w:id="1283" w:name="Tc_go3gf42AKUS5mGVvQ3fBlw_4_0"/>
      <w:bookmarkStart w:id="1284" w:name="Tc_3eYJ1KbcLEi1yiCE-_k63g_3_0"/>
      <w:bookmarkStart w:id="1285" w:name="Tc_PAKgvnz6gE-wDSrhCeiglg_2_4"/>
      <w:bookmarkStart w:id="1286" w:name="Tc_Rd5VTa64KkuoBpSAfpMIPQ_2_2"/>
      <w:bookmarkStart w:id="1287" w:name="Tc_gNhlXdvYQ0u5stfuhVyTjA_1_4"/>
      <w:bookmarkStart w:id="1288" w:name="Tc_VzWVh9Sls0WukpXhVBeQVw_1_2"/>
      <w:bookmarkStart w:id="1289" w:name="_deeb9443_1fd1_4789_81a4_05257784febc"/>
      <w:bookmarkEnd w:id="1281"/>
      <w:bookmarkEnd w:id="1282"/>
      <w:bookmarkEnd w:id="1283"/>
      <w:bookmarkEnd w:id="1284"/>
      <w:bookmarkEnd w:id="1285"/>
      <w:bookmarkEnd w:id="1286"/>
      <w:bookmarkEnd w:id="1287"/>
      <w:bookmarkEnd w:id="1288"/>
      <w:bookmarkEnd w:id="1289"/>
      <w:r>
        <w:rPr>
          <w:rFonts w:ascii="Times New Roman;Times;serif" w:hAnsi="Times New Roman;Times;serif"/>
          <w:b/>
          <w:i w:val="false"/>
          <w:caps w:val="false"/>
          <w:smallCaps w:val="false"/>
          <w:sz w:val="20"/>
        </w:rPr>
        <w:t>26</w:t>
      </w:r>
      <w:r>
        <w:rPr>
          <w:rFonts w:ascii="Times New Roman;Times;serif" w:hAnsi="Times New Roman;Times;serif"/>
          <w:b/>
          <w:sz w:val="20"/>
        </w:rPr>
        <w:t>COMMITMENTS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Commitments not provided for in the financial statements are as follows:</w:t>
      </w:r>
    </w:p>
    <w:p>
      <w:pPr>
        <w:pStyle w:val="TextBody"/>
        <w:bidi w:val="0"/>
        <w:spacing w:before="0" w:after="240"/>
        <w:ind w:left="0" w:right="0" w:hanging="0"/>
        <w:jc w:val="both"/>
        <w:rPr/>
      </w:pPr>
      <w:r>
        <w:rPr/>
        <w:t>​</w:t>
      </w:r>
    </w:p>
    <w:tbl>
      <w:tblPr>
        <w:tblW w:w="8195" w:type="dxa"/>
        <w:jc w:val="left"/>
        <w:tblInd w:w="0" w:type="dxa"/>
        <w:tblLayout w:type="fixed"/>
        <w:tblCellMar>
          <w:top w:w="0" w:type="dxa"/>
          <w:left w:w="0" w:type="dxa"/>
          <w:bottom w:w="0" w:type="dxa"/>
          <w:right w:w="0" w:type="dxa"/>
        </w:tblCellMar>
      </w:tblPr>
      <w:tblGrid>
        <w:gridCol w:w="4006"/>
        <w:gridCol w:w="346"/>
        <w:gridCol w:w="1906"/>
        <w:gridCol w:w="346"/>
        <w:gridCol w:w="159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543810" cy="175260"/>
                      <wp:effectExtent l="0" t="0" r="0" b="0"/>
                      <wp:wrapNone/>
                      <wp:docPr id="387" name="Frame386"/>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210310" cy="175260"/>
                      <wp:effectExtent l="0" t="0" r="0" b="0"/>
                      <wp:wrapNone/>
                      <wp:docPr id="389" name="Frame388"/>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010285" cy="175260"/>
                      <wp:effectExtent l="0" t="0" r="0" b="0"/>
                      <wp:wrapNone/>
                      <wp:docPr id="391" name="Frame39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2025</w:t>
            </w:r>
          </w:p>
        </w:tc>
        <w:tc>
          <w:tcPr>
            <w:tcW w:w="346" w:type="dxa"/>
            <w:tcBorders/>
            <w:vAlign w:val="center"/>
          </w:tcPr>
          <w:p>
            <w:pPr>
              <w:pStyle w:val="TableContents"/>
              <w:bidi w:val="0"/>
              <w:spacing w:before="0" w:after="0"/>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for purchase of inventories (Note (i))</w:t>
            </w:r>
          </w:p>
        </w:tc>
        <w:tc>
          <w:tcPr>
            <w:tcW w:w="346" w:type="dxa"/>
            <w:tcBorders/>
            <w:shd w:fill="CCEEFF" w:val="clear"/>
            <w:vAlign w:val="center"/>
          </w:tcPr>
          <w:p>
            <w:pPr>
              <w:pStyle w:val="TableContents"/>
              <w:bidi w:val="0"/>
              <w:spacing w:before="0" w:after="0"/>
              <w:ind w:left="0" w:right="0" w:hanging="0"/>
              <w:jc w:val="left"/>
              <w:rPr/>
            </w:pPr>
            <w:r>
              <w:rPr/>
              <w:t> </w:t>
            </w:r>
          </w:p>
        </w:tc>
        <w:tc>
          <w:tcPr>
            <w:tcW w:w="1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39,795</w:t>
            </w:r>
          </w:p>
        </w:tc>
        <w:tc>
          <w:tcPr>
            <w:tcW w:w="346"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30,721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for purchase of services (Note (ii))</w:t>
            </w:r>
          </w:p>
        </w:tc>
        <w:tc>
          <w:tcPr>
            <w:tcW w:w="346" w:type="dxa"/>
            <w:tcBorders/>
            <w:vAlign w:val="center"/>
          </w:tcPr>
          <w:p>
            <w:pPr>
              <w:pStyle w:val="TableContents"/>
              <w:bidi w:val="0"/>
              <w:spacing w:before="0" w:after="0"/>
              <w:ind w:left="0" w:right="0" w:hanging="0"/>
              <w:jc w:val="left"/>
              <w:rPr/>
            </w:pPr>
            <w:r>
              <w:rPr/>
              <w:t> </w:t>
            </w:r>
          </w:p>
        </w:tc>
        <w:tc>
          <w:tcPr>
            <w:tcW w:w="1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216,807</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216,807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for capital investments (Note (iii))</w:t>
            </w:r>
          </w:p>
        </w:tc>
        <w:tc>
          <w:tcPr>
            <w:tcW w:w="346" w:type="dxa"/>
            <w:tcBorders/>
            <w:shd w:fill="CCEEFF" w:val="clear"/>
            <w:vAlign w:val="center"/>
          </w:tcPr>
          <w:p>
            <w:pPr>
              <w:pStyle w:val="TableContents"/>
              <w:bidi w:val="0"/>
              <w:spacing w:before="0" w:after="0"/>
              <w:ind w:left="0" w:right="0" w:hanging="0"/>
              <w:jc w:val="left"/>
              <w:rPr/>
            </w:pPr>
            <w:r>
              <w:rPr/>
              <w:t>​</w:t>
            </w:r>
          </w:p>
        </w:tc>
        <w:tc>
          <w:tcPr>
            <w:tcW w:w="1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20,520</w:t>
            </w:r>
          </w:p>
        </w:tc>
        <w:tc>
          <w:tcPr>
            <w:tcW w:w="346" w:type="dxa"/>
            <w:tcBorders/>
            <w:shd w:fill="CCEEFF" w:val="clear"/>
            <w:vAlign w:val="center"/>
          </w:tcPr>
          <w:p>
            <w:pPr>
              <w:pStyle w:val="TableContents"/>
              <w:bidi w:val="0"/>
              <w:spacing w:before="0" w:after="0"/>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9,000</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277,122</w:t>
            </w:r>
          </w:p>
        </w:tc>
        <w:tc>
          <w:tcPr>
            <w:tcW w:w="346" w:type="dxa"/>
            <w:tcBorders/>
            <w:vAlign w:val="center"/>
          </w:tcPr>
          <w:p>
            <w:pPr>
              <w:pStyle w:val="TableContents"/>
              <w:bidi w:val="0"/>
              <w:spacing w:before="0" w:after="0"/>
              <w:ind w:left="0" w:right="0" w:hanging="0"/>
              <w:jc w:val="left"/>
              <w:rPr/>
            </w:pPr>
            <w:r>
              <w:rPr/>
              <w:t>​</w:t>
            </w:r>
          </w:p>
        </w:tc>
        <w:tc>
          <w:tcPr>
            <w:tcW w:w="15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256,528</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As of June 30, 2026, the Group had entered into the following commitment agreements:</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(i)</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A vehicle purchase agreement with a Chinese manufacturer, pursuant to which the Group committed to purchase vehicles manufactured by this manufacturer with an aggregated purchase amount of RMB100.3</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in 2024. As of June 30, 2026, the Group has paid RMB78.1</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under this vehicle purchase agreement. The Group is in the process of negotiating with the manufacturer to extend the term to purchase vehicles under the agreement.</w:t>
            </w:r>
          </w:p>
        </w:tc>
      </w:tr>
    </w:tbl>
    <w:p>
      <w:pPr>
        <w:pStyle w:val="TextBody"/>
        <w:bidi w:val="0"/>
        <w:spacing w:before="0" w:after="120"/>
        <w:ind w:left="360" w:right="0" w:hanging="0"/>
        <w:jc w:val="both"/>
        <w:rPr>
          <w:rFonts w:ascii="Times New Roman;Times;serif" w:hAnsi="Times New Roman;Times;serif"/>
          <w:color w:val="231F20"/>
          <w:sz w:val="16"/>
        </w:rPr>
      </w:pPr>
      <w:r>
        <w:rPr>
          <w:rFonts w:ascii="Times New Roman;Times;serif" w:hAnsi="Times New Roman;Times;serif"/>
          <w:color w:val="231F20"/>
          <w:sz w:val="16"/>
        </w:rPr>
        <w:t>Another vehicle purchase agreement with another Chinese manufacturer, specializing in the development, production and sale of buses, pursuant to which the Group committed to purchase vehicles manufactured by this manufacturer with an aggregated purchase amount of RMB32.7 million in 2024 and 2025. As of June 30, 2026, the Group has paid RMB24.3 million under this vehicle purchase agreement.</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(ii)</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A research and development service agreement with another Chinese manufacturer, pursuant to which the Group committed to purchase research and development services from the manufacturer with an aggregated purchase consideration of RMB216.8</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in 2024 and 2025. As of June 30, 2026, the research and development services have not started and no</w:t>
            </w:r>
            <w:r>
              <w:rPr>
                <w:caps w:val="false"/>
                <w:smallCaps w:val="false"/>
                <w:color w:val="231F20"/>
              </w:rPr>
              <w:t xml:space="preserve"> </w:t>
            </w:r>
            <w:r>
              <w:rPr>
                <w:rFonts w:ascii="Times New Roman;Times;serif" w:hAnsi="Times New Roman;Times;serif"/>
                <w:b w:val="false"/>
                <w:i w:val="false"/>
                <w:caps w:val="false"/>
                <w:smallCaps w:val="false"/>
                <w:color w:val="231F20"/>
                <w:sz w:val="16"/>
              </w:rPr>
              <w:t>consideration has been paid yet.</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color w:val="231F20"/>
                <w:sz w:val="16"/>
              </w:rPr>
            </w:pPr>
            <w:r>
              <w:rPr>
                <w:rFonts w:ascii="Times New Roman;Times;serif" w:hAnsi="Times New Roman;Times;serif"/>
                <w:color w:val="231F20"/>
                <w:sz w:val="16"/>
              </w:rPr>
              <w:t>(iii)</w:t>
            </w:r>
          </w:p>
        </w:tc>
        <w:tc>
          <w:tcPr>
            <w:tcW w:w="98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As of June 30, 2026, the Group had aggregated capital expenditure commitments amounting to RMB9.0</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In January 2026, the Group injected RMB11.5</w:t>
            </w:r>
            <w:r>
              <w:rPr>
                <w:caps w:val="false"/>
                <w:smallCaps w:val="false"/>
                <w:color w:val="231F20"/>
              </w:rPr>
              <w:t xml:space="preserve"> </w:t>
            </w:r>
            <w:r>
              <w:rPr>
                <w:rFonts w:ascii="Times New Roman;Times;serif" w:hAnsi="Times New Roman;Times;serif"/>
                <w:b w:val="false"/>
                <w:i w:val="false"/>
                <w:caps w:val="false"/>
                <w:smallCaps w:val="false"/>
                <w:color w:val="231F20"/>
                <w:sz w:val="16"/>
              </w:rPr>
              <w:t>million to one investee.</w:t>
            </w:r>
          </w:p>
        </w:tc>
      </w:tr>
    </w:tbl>
    <w:p>
      <w:pPr>
        <w:pStyle w:val="TextBody"/>
        <w:bidi w:val="0"/>
        <w:spacing w:before="0" w:after="0"/>
        <w:ind w:left="0" w:right="0" w:hanging="0"/>
        <w:jc w:val="left"/>
        <w:rPr>
          <w:color w:val="231F20"/>
        </w:rPr>
      </w:pPr>
      <w:r>
        <w:rPr>
          <w:color w:val="231F20"/>
        </w:rPr>
        <w:t>​</w:t>
      </w:r>
    </w:p>
    <w:p>
      <w:pPr>
        <w:pStyle w:val="TextBody"/>
        <w:bidi w:val="0"/>
        <w:spacing w:before="0" w:after="240"/>
        <w:ind w:left="0" w:right="0" w:hanging="0"/>
        <w:jc w:val="left"/>
        <w:rPr>
          <w:rFonts w:ascii="Times New Roman;Times;serif" w:hAnsi="Times New Roman;Times;serif"/>
          <w:b/>
          <w:sz w:val="20"/>
        </w:rPr>
      </w:pPr>
      <w:bookmarkStart w:id="1290" w:name="Tc_0F5okFFM_0eAbMDV1LgMOQ_16_0"/>
      <w:bookmarkStart w:id="1291" w:name="Tc_eZGM3oTQ-EumKQ6mABvQ2g_15_0"/>
      <w:bookmarkStart w:id="1292" w:name="Tc_oFV8NNRGKUS6D5xW_2L-QQ_14_0"/>
      <w:bookmarkStart w:id="1293" w:name="Tc_7FQdbS1IK0irt8t5RhRfKA_13_0"/>
      <w:bookmarkStart w:id="1294" w:name="Tc_0kP86-QqA0S1OLXkDpXb5w_12_0"/>
      <w:bookmarkStart w:id="1295" w:name="Tc_GmY9hMjj4E6bY4vq3iO3GA_11_0"/>
      <w:bookmarkStart w:id="1296" w:name="Tc_eZRSbPHp5kuKHBwBQ7G6uQ_10_0"/>
      <w:bookmarkStart w:id="1297" w:name="Tc_b4j28E8Gc0e9SttLhJnDCw_9_0"/>
      <w:bookmarkStart w:id="1298" w:name="Tc_piSry67DykOi6vEGOJEc5g_8_0"/>
      <w:bookmarkStart w:id="1299" w:name="Tc_kJgPYh-dzUGLwYxlytg54A_7_0"/>
      <w:bookmarkStart w:id="1300" w:name="Tc_it4yWMqyo0-SgXaCrnJ6Pg_6_0"/>
      <w:bookmarkStart w:id="1301" w:name="Tc_saTgkpzyukqybEvGCmMtDw_5_0"/>
      <w:bookmarkStart w:id="1302" w:name="Tc_miKqKRd3gkmY-DmWfqtbUg_4_0"/>
      <w:bookmarkStart w:id="1303" w:name="Tc_YKKAYQ-bEUWuJ2gqI9x2Fw_3_0"/>
      <w:bookmarkStart w:id="1304" w:name="Tc_vq55TQ9Txk2GdGJU8wMSHg_2_0"/>
      <w:bookmarkStart w:id="1305" w:name="Tc_N-iZ066DYUKlGTSe4iJSYw_1_2"/>
      <w:bookmarkStart w:id="1306" w:name="Tc_d3joedr5T0Gx6CeXxxSeuQ_1_0"/>
      <w:bookmarkStart w:id="1307" w:name="_627bcdf3_295b_4496_99e4_4fa8786dcb8a"/>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r>
        <w:rPr>
          <w:rFonts w:ascii="Times New Roman;Times;serif" w:hAnsi="Times New Roman;Times;serif"/>
          <w:b/>
          <w:i w:val="false"/>
          <w:caps w:val="false"/>
          <w:smallCaps w:val="false"/>
          <w:sz w:val="20"/>
        </w:rPr>
        <w:t>27</w:t>
      </w:r>
      <w:r>
        <w:rPr>
          <w:rFonts w:ascii="Times New Roman;Times;serif" w:hAnsi="Times New Roman;Times;serif"/>
          <w:b/>
          <w:sz w:val="20"/>
        </w:rPr>
        <w:t>MATERIAL RELATED PARTY TRANSACTIONS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(a)Name and relationship with related parties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079"/>
        <w:gridCol w:w="346"/>
        <w:gridCol w:w="3780"/>
      </w:tblGrid>
      <w:tr>
        <w:trPr/>
        <w:tc>
          <w:tcPr>
            <w:tcW w:w="6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860165" cy="29210"/>
                      <wp:effectExtent l="0" t="0" r="0" b="0"/>
                      <wp:wrapNone/>
                      <wp:docPr id="392" name="Frame391"/>
                      <a:graphic xmlns:a="http://schemas.openxmlformats.org/drawingml/2006/main">
                        <a:graphicData uri="http://schemas.microsoft.com/office/word/2010/wordprocessingShape">
                          <wps:wsp>
                            <wps:cNvSpPr txBox="1"/>
                            <wps:spPr>
                              <a:xfrm>
                                <a:off x="0" y="0"/>
                                <a:ext cx="38601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29210"/>
                      <wp:effectExtent l="0" t="0" r="0" b="0"/>
                      <wp:wrapNone/>
                      <wp:docPr id="393" name="Frame39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00300" cy="29210"/>
                      <wp:effectExtent l="0" t="0" r="0" b="0"/>
                      <wp:wrapNone/>
                      <wp:docPr id="394" name="Frame393"/>
                      <a:graphic xmlns:a="http://schemas.openxmlformats.org/drawingml/2006/main">
                        <a:graphicData uri="http://schemas.microsoft.com/office/word/2010/wordprocessingShape">
                          <wps:wsp>
                            <wps:cNvSpPr txBox="1"/>
                            <wps:spPr>
                              <a:xfrm>
                                <a:off x="0" y="0"/>
                                <a:ext cx="24003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07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related parties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7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6079"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Dr. Tony Xu Han </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Founder, Chairman, Executive Director and CEO </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Yan Li</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Co-founder, Executive Director and Chief Technology Officer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Hua Zhong</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Jennifer Xuan Li</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Head of International</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Qingxiong Yang</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Jean-François Salles</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Ichijo Futakawa (appointed on April 21, 2026)</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Non-Executive Director</w:t>
            </w:r>
          </w:p>
        </w:tc>
      </w:tr>
      <w:tr>
        <w:trPr/>
        <w:tc>
          <w:tcPr>
            <w:tcW w:w="6079" w:type="dxa"/>
            <w:tcBorders/>
            <w:vAlign w:val="center"/>
          </w:tcPr>
          <w:p>
            <w:pPr>
              <w:pStyle w:val="TableContents"/>
              <w:pBdr/>
              <w:bidi w:val="0"/>
              <w:spacing w:before="0" w:after="0"/>
              <w:ind w:left="0" w:right="0" w:hanging="0"/>
              <w:jc w:val="left"/>
              <w:rPr/>
            </w:pPr>
            <w:r>
              <w:rPr>
                <w:rFonts w:ascii="Times New Roman;Times;serif" w:hAnsi="Times New Roman;Times;serif"/>
                <w:sz w:val="20"/>
              </w:rPr>
              <w:t>Mr. David Zhang (</w:t>
            </w:r>
            <w:r>
              <w:rPr>
                <w:rFonts w:eastAsia="MS Mincho"/>
                <w:sz w:val="20"/>
              </w:rPr>
              <w:t>張彤</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Huiping Yan</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Tony Fan-cheong Chan</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Grégoire de Franqueville (resigned on March 5, 2025)</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Non-Executive Director</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Takao Asami (resigned on March 24, 2025)</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Non-Executive Director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Kazuhiro Doi (resigned on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Non-Executive Director</w:t>
            </w:r>
          </w:p>
        </w:tc>
      </w:tr>
      <w:tr>
        <w:trPr/>
        <w:tc>
          <w:tcPr>
            <w:tcW w:w="607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Alliance Automotive R&amp;D (Shanghai) Co., Ltd., Alliance Ventures, B.V. and Nissan Mobility Service Co., Ltd. (collectively “Alliance affiliates”) </w:t>
            </w:r>
          </w:p>
        </w:tc>
        <w:tc>
          <w:tcPr>
            <w:tcW w:w="346" w:type="dxa"/>
            <w:tcBorders/>
            <w:vAlign w:val="center"/>
          </w:tcPr>
          <w:p>
            <w:pPr>
              <w:pStyle w:val="TableContents"/>
              <w:bidi w:val="0"/>
              <w:spacing w:before="0" w:after="0"/>
              <w:ind w:left="0" w:right="0" w:hanging="0"/>
              <w:jc w:val="left"/>
              <w:rPr/>
            </w:pPr>
            <w:r>
              <w:rPr/>
              <w:t>​</w:t>
            </w:r>
          </w:p>
        </w:tc>
        <w:tc>
          <w:tcPr>
            <w:tcW w:w="3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Affiliates of a shareholder</w:t>
            </w:r>
          </w:p>
        </w:tc>
      </w:tr>
      <w:tr>
        <w:trPr/>
        <w:tc>
          <w:tcPr>
            <w:tcW w:w="607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Yuji Technology Co., Ltd. and its subsidiaries (collectively “Yuji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3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Entity controlled by a close family member of Dr. Tony Xu Han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(b)Other transactions with related parties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transactions disclosed elsewhere in this report, the Group entered into the following continuing material related party transactions during the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308" w:name="Tc_kQxJ1lBJskyd3nhEWVFJjQ_14_0"/>
      <w:bookmarkStart w:id="1309" w:name="Tc_TkDA9dWg30qLvraDYIdymg_13_0"/>
      <w:bookmarkStart w:id="1310" w:name="Tc_HV-b-3BHEU2eDEw6EECWCA_12_0"/>
      <w:bookmarkStart w:id="1311" w:name="Tc_smCK83rh0kWirJbhJKxMgQ_11_0"/>
      <w:bookmarkStart w:id="1312" w:name="Tc_UxD6DCXTukKPRI4ZK6v27Q_10_0"/>
      <w:bookmarkStart w:id="1313" w:name="Tc_Xian-tQtX06HrHjwdnmW_g_9_0"/>
      <w:bookmarkStart w:id="1314" w:name="Tc_WRscZYoVREG991QAIJALLQ_8_0"/>
      <w:bookmarkStart w:id="1315" w:name="Tc_fflQum8ULEiwoTNB2ZWqvw_7_0"/>
      <w:bookmarkStart w:id="1316" w:name="Tc_0-moe64_60a5WwD4Rx9tPQ_6_0"/>
      <w:bookmarkStart w:id="1317" w:name="Tc_6QtVL42gxUmE0UVb-km-3g_5_0"/>
      <w:bookmarkStart w:id="1318" w:name="Tc_Cg9JETmhEkqoBgZXwIZYkg_4_0"/>
      <w:bookmarkStart w:id="1319" w:name="Tc_UbA1jTniakKix55SVPGDNg_3_4"/>
      <w:bookmarkStart w:id="1320" w:name="Tc_ngABptvs30aLzjqd3xVvkw_3_2"/>
      <w:bookmarkStart w:id="1321" w:name="Tc_agZmfbczokS9dpu5v4wM6A_2_4"/>
      <w:bookmarkStart w:id="1322" w:name="Tc_MMeSJQbGEESiSkWeMEPIVg_2_2"/>
      <w:bookmarkStart w:id="1323" w:name="Tc_lAJk2K5KRUq052n8nSvlNw_1_4"/>
      <w:bookmarkStart w:id="1324" w:name="Tc_CICTb3gwqkafewcyy0VOMw_1_2"/>
      <w:bookmarkStart w:id="1325" w:name="_2d7d4667_ea5f_4c61_8ed1_dc99bbe18596"/>
      <w:bookmarkStart w:id="1326" w:name="Tc_E-LfC9nBEEmLTT4rodkVXw_18_4"/>
      <w:bookmarkStart w:id="1327" w:name="Tc_EmX9z8pNMEOJ5u-_yTqHXg_18_0"/>
      <w:bookmarkStart w:id="1328" w:name="Tc_a8F-ehzLDkuvIWjjkNGNnw_17_0"/>
      <w:bookmarkStart w:id="1329" w:name="Tc_PkZbpTgVC0GrhlFKrWVr3g_15_4"/>
      <w:bookmarkStart w:id="1330" w:name="Tc_Y7uEZ7Qp1U-ZC3x5665kgA_15_0"/>
      <w:bookmarkStart w:id="1331" w:name="Tc_7gkyclGNu0qbed0jdGWccg_14_0"/>
      <w:bookmarkStart w:id="1332" w:name="Tc_sIAfLcRRyUqxkDesFcHtYA_12_0"/>
      <w:bookmarkStart w:id="1333" w:name="Tc_hyg5NoRkwki06EBRRe0Xcw_11_0"/>
      <w:bookmarkStart w:id="1334" w:name="Tc_kVacNSXraUC4DJIzF-gJPA_9_0"/>
      <w:bookmarkStart w:id="1335" w:name="Tc_CPsWfKkTPU2Trwn2NBmY1Q_8_0"/>
      <w:bookmarkStart w:id="1336" w:name="Tc_xXvCAHd-RkuD24-ooJ_zYA_6_2"/>
      <w:bookmarkStart w:id="1337" w:name="Tc_CMasK0IyGkyu1DCfUHNXag_6_0"/>
      <w:bookmarkStart w:id="1338" w:name="Tc_IorDYux0kUKbxcoe-bMnZg_5_0"/>
      <w:bookmarkStart w:id="1339" w:name="Tc_t9mkiFt4bEikJa6EvqNhUw_4_4"/>
      <w:bookmarkStart w:id="1340" w:name="Tc_FDt6mJ5Z-USMn2Hm1ND49Q_4_2"/>
      <w:bookmarkStart w:id="1341" w:name="Tc_HK7Qrt-ADUm3GOWMX5-H1Q_3_4"/>
      <w:bookmarkStart w:id="1342" w:name="Tc_wpYB7mR9t06iSQqzMknE3Q_3_2"/>
      <w:bookmarkStart w:id="1343" w:name="Tc_ObBxGwF25EGh4WFmrAp5pg_2_2"/>
      <w:bookmarkStart w:id="1344" w:name="Tc_b2RvXIFZZ0KFADkqIEUwjg_1_2"/>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r>
        <w:rPr>
          <w:rFonts w:ascii="Times New Roman;Times;serif" w:hAnsi="Times New Roman;Times;serif"/>
          <w:b/>
          <w:i w:val="false"/>
          <w:caps w:val="false"/>
          <w:smallCaps w:val="false"/>
          <w:sz w:val="20"/>
        </w:rPr>
        <w:t>27</w:t>
      </w:r>
      <w:r>
        <w:rPr>
          <w:rFonts w:ascii="Times New Roman;Times;serif" w:hAnsi="Times New Roman;Times;serif"/>
          <w:b/>
          <w:sz w:val="20"/>
        </w:rPr>
        <w:t>MATERIAL RELATED PARTY TRANSACTIONS (CONTINUED)</w:t>
      </w:r>
    </w:p>
    <w:p>
      <w:pPr>
        <w:pStyle w:val="TextBody"/>
        <w:bidi w:val="0"/>
        <w:spacing w:before="0" w:after="0"/>
        <w:ind w:left="0" w:right="0" w:hanging="0"/>
        <w:jc w:val="left"/>
        <w:rPr/>
      </w:pPr>
      <w:r>
        <w:rPr/>
        <w:t>​</w:t>
      </w:r>
    </w:p>
    <w:tbl>
      <w:tblPr>
        <w:tblW w:w="6017" w:type="dxa"/>
        <w:jc w:val="left"/>
        <w:tblInd w:w="0" w:type="dxa"/>
        <w:tblLayout w:type="fixed"/>
        <w:tblCellMar>
          <w:top w:w="0" w:type="dxa"/>
          <w:left w:w="0" w:type="dxa"/>
          <w:bottom w:w="0" w:type="dxa"/>
          <w:right w:w="0" w:type="dxa"/>
        </w:tblCellMar>
      </w:tblPr>
      <w:tblGrid>
        <w:gridCol w:w="3661"/>
        <w:gridCol w:w="346"/>
        <w:gridCol w:w="801"/>
        <w:gridCol w:w="348"/>
        <w:gridCol w:w="86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324735" cy="175260"/>
                      <wp:effectExtent l="0" t="0" r="0" b="0"/>
                      <wp:wrapNone/>
                      <wp:docPr id="395" name="Frame394"/>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08635" cy="175260"/>
                      <wp:effectExtent l="0" t="0" r="0" b="0"/>
                      <wp:wrapNone/>
                      <wp:docPr id="397" name="Frame396"/>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0980" cy="175260"/>
                      <wp:effectExtent l="0" t="0" r="0" b="0"/>
                      <wp:wrapNone/>
                      <wp:docPr id="398" name="Frame39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46735" cy="175260"/>
                      <wp:effectExtent l="0" t="0" r="0" b="0"/>
                      <wp:wrapNone/>
                      <wp:docPr id="399" name="Frame39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8" w:type="dxa"/>
            <w:tcBorders/>
            <w:vAlign w:val="center"/>
          </w:tcPr>
          <w:p>
            <w:pPr>
              <w:pStyle w:val="TableContents"/>
              <w:bidi w:val="0"/>
              <w:spacing w:before="0" w:after="1"/>
              <w:ind w:left="0" w:right="0" w:hanging="0"/>
              <w:jc w:val="left"/>
              <w:rPr/>
            </w:pPr>
            <w:r>
              <w:rPr/>
              <w:t>  ​ ​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8"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Sales of goods to:</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Alliance affiliates</w:t>
            </w:r>
          </w:p>
        </w:tc>
        <w:tc>
          <w:tcPr>
            <w:tcW w:w="346" w:type="dxa"/>
            <w:tcBorders/>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1,445</w:t>
            </w:r>
          </w:p>
        </w:tc>
      </w:tr>
      <w:tr>
        <w:trPr/>
        <w:tc>
          <w:tcPr>
            <w:tcW w:w="36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rendered to:</w:t>
            </w:r>
          </w:p>
        </w:tc>
        <w:tc>
          <w:tcPr>
            <w:tcW w:w="34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  ​</w:t>
            </w:r>
          </w:p>
        </w:tc>
        <w:tc>
          <w:tcPr>
            <w:tcW w:w="348"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  ​</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Alliance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5,320</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Purchases of services from:</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Yuji affiliates</w:t>
            </w:r>
          </w:p>
        </w:tc>
        <w:tc>
          <w:tcPr>
            <w:tcW w:w="346" w:type="dxa"/>
            <w:tcBorders/>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32,379</w:t>
            </w:r>
          </w:p>
        </w:tc>
        <w:tc>
          <w:tcPr>
            <w:tcW w:w="348"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41,920</w:t>
            </w:r>
          </w:p>
        </w:tc>
      </w:tr>
      <w:tr>
        <w:trPr/>
        <w:tc>
          <w:tcPr>
            <w:tcW w:w="36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Payments made on behalf of customers to:</w:t>
            </w:r>
          </w:p>
        </w:tc>
        <w:tc>
          <w:tcPr>
            <w:tcW w:w="34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  ​</w:t>
            </w:r>
          </w:p>
        </w:tc>
        <w:tc>
          <w:tcPr>
            <w:tcW w:w="348"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  ​</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Yuji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Disposal of property and equipment to:</w:t>
            </w:r>
          </w:p>
        </w:tc>
        <w:tc>
          <w:tcPr>
            <w:tcW w:w="346"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Yuji affiliates</w:t>
            </w:r>
          </w:p>
        </w:tc>
        <w:tc>
          <w:tcPr>
            <w:tcW w:w="346" w:type="dxa"/>
            <w:tcBorders/>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348" w:type="dxa"/>
            <w:tcBorders/>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(c) Balances with related parties</w:t>
      </w:r>
    </w:p>
    <w:p>
      <w:pPr>
        <w:pStyle w:val="TextBody"/>
        <w:bidi w:val="0"/>
        <w:spacing w:before="0" w:after="240"/>
        <w:ind w:left="0" w:right="0" w:hanging="0"/>
        <w:jc w:val="left"/>
        <w:rPr/>
      </w:pPr>
      <w:r>
        <w:rPr/>
        <w:t>​</w:t>
      </w:r>
    </w:p>
    <w:tbl>
      <w:tblPr>
        <w:tblW w:w="8135" w:type="dxa"/>
        <w:jc w:val="left"/>
        <w:tblInd w:w="0" w:type="dxa"/>
        <w:tblLayout w:type="fixed"/>
        <w:tblCellMar>
          <w:top w:w="0" w:type="dxa"/>
          <w:left w:w="0" w:type="dxa"/>
          <w:bottom w:w="0" w:type="dxa"/>
          <w:right w:w="0" w:type="dxa"/>
        </w:tblCellMar>
      </w:tblPr>
      <w:tblGrid>
        <w:gridCol w:w="4666"/>
        <w:gridCol w:w="346"/>
        <w:gridCol w:w="1546"/>
        <w:gridCol w:w="346"/>
        <w:gridCol w:w="123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962910" cy="175260"/>
                      <wp:effectExtent l="0" t="0" r="0" b="0"/>
                      <wp:wrapNone/>
                      <wp:docPr id="400" name="Frame399"/>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981710" cy="175260"/>
                      <wp:effectExtent l="0" t="0" r="0" b="0"/>
                      <wp:wrapNone/>
                      <wp:docPr id="402" name="Frame40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81685" cy="175260"/>
                      <wp:effectExtent l="0" t="0" r="0" b="0"/>
                      <wp:wrapNone/>
                      <wp:docPr id="404" name="Frame40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w:t>
            </w:r>
          </w:p>
        </w:tc>
        <w:tc>
          <w:tcPr>
            <w:tcW w:w="346" w:type="dxa"/>
            <w:tcBorders/>
            <w:vAlign w:val="center"/>
          </w:tcPr>
          <w:p>
            <w:pPr>
              <w:pStyle w:val="TableContents"/>
              <w:bidi w:val="0"/>
              <w:spacing w:before="0" w:after="0"/>
              <w:ind w:left="0" w:right="0" w:hanging="0"/>
              <w:jc w:val="center"/>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RMB’000</w:t>
            </w:r>
          </w:p>
        </w:tc>
        <w:tc>
          <w:tcPr>
            <w:tcW w:w="34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RMB’000</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related</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  ​</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from:</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Alliance affiliates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4,369</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loss allowance</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net of loss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4,274</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Prepayments to:</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Yuji affiliates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8,436</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13,943</w:t>
            </w:r>
          </w:p>
        </w:tc>
      </w:tr>
      <w:tr>
        <w:trPr/>
        <w:tc>
          <w:tcPr>
            <w:tcW w:w="4666"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Prepayments to and amounts due from related parties</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9,010</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18,217</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related</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shd w:fill="CCEEFF" w:val="clear"/>
            <w:vAlign w:val="center"/>
          </w:tcPr>
          <w:p>
            <w:pPr>
              <w:pStyle w:val="TableContents"/>
              <w:bidi w:val="0"/>
              <w:spacing w:before="0" w:after="0"/>
              <w:ind w:left="0" w:right="0" w:hanging="0"/>
              <w:jc w:val="right"/>
              <w:rPr/>
            </w:pPr>
            <w:r>
              <w:rPr/>
              <w:t>  ​</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due to related parties</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Yuji affiliates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7,910</w: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7,910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June 30, 2026, amounts due from related parties are unsecured, interest-free and repayable on demand.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CONDENSED CONSOLIDATED INTERIM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(Expressed in thousands of RMB, unless otherwise indicated) (Continued)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28</w:t>
      </w:r>
      <w:r>
        <w:rPr>
          <w:rFonts w:ascii="Times New Roman;Times;serif" w:hAnsi="Times New Roman;Times;serif"/>
          <w:b/>
          <w:sz w:val="20"/>
        </w:rPr>
        <w:t>ACCOUNTING STANDARDS ISSUED BUT NOT YET EFFECTIVE FOR THE SIX MONTHS ENDED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number of amendments and new standards are not yet mandatory for annual periods beginning January 1, 2026. Earlier application is permitted; however, the Group has not early adopted any new or amended standards in preparing this interim financial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updates the information provided in the last annual financial statements about the possible impacts of IFRS 18 which may have a significant impact on the Group’s consolidated financial statements when adopted.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IFRS 18, Presentation and disclosure in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IFRS 18 will replace IAS 1 </w:t>
      </w:r>
      <w:r>
        <w:rPr>
          <w:rFonts w:ascii="Times New Roman;Times;serif" w:hAnsi="Times New Roman;Times;serif"/>
          <w:i/>
          <w:sz w:val="20"/>
        </w:rPr>
        <w:t>Presentation of financial statements</w:t>
      </w:r>
      <w:r>
        <w:rPr>
          <w:rFonts w:ascii="Times New Roman;Times;serif" w:hAnsi="Times New Roman;Times;serif"/>
          <w:sz w:val="20"/>
        </w:rPr>
        <w:t xml:space="preserve"> and aims to improve the transparency and comparability of information about an entity’s financial statements. IFRS 18 is effective for annual reporting periods beginning on or after January 1, 2027 and is to be applied retrospectively.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Among other changes, under IFRS 18, entities are required to classify all income and expenses into five categories in the statement of profit or loss, namely the operating, investing, financing, discontinued operations and income tax categories. Entities are also required to provide specific disclosures about management-defined performance measures in a single note in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does not plan to early adopt IFRS 18. IFRS 18 will impact the presentation of financial statements and is not expected to have a significant impact on the financial performance and position of the Group.</w:t>
      </w:r>
    </w:p>
    <w:p>
      <w:pPr>
        <w:pStyle w:val="TextBody"/>
        <w:bidi w:val="0"/>
        <w:spacing w:before="0" w:after="240"/>
        <w:ind w:left="0" w:right="0" w:hanging="0"/>
        <w:jc w:val="left"/>
        <w:rPr>
          <w:rFonts w:ascii="Times New Roman;Times;serif" w:hAnsi="Times New Roman;Times;serif"/>
          <w:b/>
          <w:sz w:val="20"/>
        </w:rPr>
      </w:pPr>
      <w:bookmarkStart w:id="1345" w:name="a25Subsequentevents_94596"/>
      <w:bookmarkEnd w:id="1345"/>
      <w:r>
        <w:rPr>
          <w:rFonts w:ascii="Times New Roman;Times;serif" w:hAnsi="Times New Roman;Times;serif"/>
          <w:b/>
          <w:i w:val="false"/>
          <w:caps w:val="false"/>
          <w:smallCaps w:val="false"/>
          <w:sz w:val="20"/>
        </w:rPr>
        <w:t>29</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has considered subsequent events through August 12, 2026, and there are no significant events subsequent to June 30, 2026 which would materially affect the Group’s operation results and financial position.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46" w:name="DEFINITIONS_356695"/>
      <w:bookmarkStart w:id="1347" w:name="_fc967fef_8c87_4d1d_ab19_b71f4eb1f09b"/>
      <w:bookmarkEnd w:id="1346"/>
      <w:bookmarkEnd w:id="1347"/>
      <w:r>
        <w:rPr>
          <w:rFonts w:ascii="Times New Roman;Times;serif" w:hAnsi="Times New Roman;Times;serif"/>
          <w:b/>
          <w:sz w:val="20"/>
        </w:rPr>
        <w:t>DEFINITIONS</w:t>
      </w:r>
    </w:p>
    <w:p>
      <w:pPr>
        <w:pStyle w:val="TextBody"/>
        <w:bidi w:val="0"/>
        <w:spacing w:before="0" w:after="0"/>
        <w:ind w:left="0" w:right="0" w:hanging="0"/>
        <w:jc w:val="left"/>
        <w:rPr/>
      </w:pPr>
      <w:r>
        <w:rPr/>
        <w:t>​</w:t>
      </w:r>
    </w:p>
    <w:p>
      <w:pPr>
        <w:pStyle w:val="TextBody"/>
        <w:bidi w:val="0"/>
        <w:spacing w:before="0" w:after="42"/>
        <w:ind w:left="0" w:right="0" w:hanging="0"/>
        <w:jc w:val="left"/>
        <w:rPr>
          <w:rFonts w:ascii="Times New Roman;Times;serif" w:hAnsi="Times New Roman;Times;serif"/>
          <w:sz w:val="20"/>
        </w:rPr>
      </w:pPr>
      <w:r>
        <w:rPr>
          <w:rFonts w:ascii="Times New Roman;Times;serif" w:hAnsi="Times New Roman;Times;serif"/>
          <w:sz w:val="20"/>
        </w:rPr>
        <w:t>In this interim report, the following expressions have the meanings set out below unless the context requires otherwise.</w:t>
      </w:r>
    </w:p>
    <w:p>
      <w:pPr>
        <w:pStyle w:val="TextBody"/>
        <w:bidi w:val="0"/>
        <w:spacing w:before="0" w:after="1"/>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47"/>
        <w:gridCol w:w="346"/>
        <w:gridCol w:w="8212"/>
      </w:tblGrid>
      <w:tr>
        <w:trPr/>
        <w:tc>
          <w:tcPr>
            <w:tcW w:w="164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212" w:type="dxa"/>
            <w:tcBorders/>
            <w:vAlign w:val="center"/>
          </w:tcPr>
          <w:p>
            <w:pPr>
              <w:pStyle w:val="TableContents"/>
              <w:bidi w:val="0"/>
              <w:spacing w:before="0" w:after="283"/>
              <w:ind w:left="0" w:right="0" w:hanging="0"/>
              <w:jc w:val="left"/>
              <w:rPr>
                <w:sz w:val="4"/>
                <w:szCs w:val="4"/>
              </w:rPr>
            </w:pPr>
            <w:r>
              <w:rPr>
                <w:sz w:val="4"/>
                <w:szCs w:val="4"/>
              </w:rPr>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2018 Share Plan”</w:t>
            </w:r>
          </w:p>
        </w:tc>
        <w:tc>
          <w:tcPr>
            <w:tcW w:w="346" w:type="dxa"/>
            <w:tcBorders/>
            <w:vAlign w:val="center"/>
          </w:tcPr>
          <w:p>
            <w:pPr>
              <w:pStyle w:val="TableContents"/>
              <w:bidi w:val="0"/>
              <w:spacing w:before="0" w:after="0"/>
              <w:ind w:left="0" w:right="0" w:hanging="0"/>
              <w:jc w:val="left"/>
              <w:rPr/>
            </w:pPr>
            <w:r>
              <w:rPr/>
              <w:t>  ​ ​ ​</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2018 share plan adopted by the Company in June 2018 and amended and restated in July 2024</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2026 Share Plan”</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2026 share plan adopted by the Company in March 2026</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ADS(s)”</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Depositary Share(s) issued by the Depositary pursuant to the deposit agreement in respect of the Class A Ordinary Shares, each ADS representing three Class A Ordinary Shares on deposit with the Custodian</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Articles” or “Articles of Association”</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ninth amended and restated articles of association of the Company adopted by a special resolution of the Shareholders on March 13, 2026</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Audit Committee”</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audit committee of the Board</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Board”</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of Directors</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BVI”</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British Virgin Islands</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Cayman Companies Act”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Companies Act (As Revised) of the Cayman Islands, as amended, supplemented or otherwise modified from time to time</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CEO”</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chief executive officer of the Group</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CFO”</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chief financial officer of the Group</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China,” “Chinese Mainland” or “PRC”</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People’s Republic of China, and for the purposes of this interim report only, except where the context requires otherwise, excluding the Hong Kong Special Administrative Region, the Macao Special Administrative Region of the People’s Republic of China and Taiwan</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Class A Ordinary Share(s)”</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in the share capital of the Company with a nominal value of US$0.00001 each, conferring a holder one vote per Class A Ordinary Share on any resolution tabled at our Company’s general meetings</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Class B Ordinary Share(s)”</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ordinary share(s) in the share capital of the Company with a nominal value of US$0.00001 each, conferring weighted voting rights such that a holder is entitled to exercise ten votes per Class B Ordinary Share on any resolution tabled at our Company’s general meetings, save for resolutions with respect to the Reserved Matters where a holder shall be entitled to one vote per Class B Ordinary Share</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Company,” “we,” “us,” “our” or “WeRide”</w:t>
            </w:r>
          </w:p>
        </w:tc>
        <w:tc>
          <w:tcPr>
            <w:tcW w:w="346" w:type="dxa"/>
            <w:tcBorders/>
            <w:vAlign w:val="center"/>
          </w:tcPr>
          <w:p>
            <w:pPr>
              <w:pStyle w:val="TableContents"/>
              <w:bidi w:val="0"/>
              <w:spacing w:before="0" w:after="0"/>
              <w:ind w:left="0" w:right="0" w:hanging="0"/>
              <w:jc w:val="left"/>
              <w:rPr/>
            </w:pPr>
            <w:r>
              <w:rPr/>
              <w:t>​</w:t>
            </w:r>
          </w:p>
        </w:tc>
        <w:tc>
          <w:tcPr>
            <w:tcW w:w="8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WeRide Inc., an exempted company incorporated in the Cayman Islands with limited liability on March 13, 2017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08"/>
        <w:gridCol w:w="346"/>
        <w:gridCol w:w="7551"/>
      </w:tblGrid>
      <w:tr>
        <w:trPr/>
        <w:tc>
          <w:tcPr>
            <w:tcW w:w="230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551" w:type="dxa"/>
            <w:tcBorders/>
            <w:vAlign w:val="center"/>
          </w:tcPr>
          <w:p>
            <w:pPr>
              <w:pStyle w:val="TableContents"/>
              <w:bidi w:val="0"/>
              <w:spacing w:before="0" w:after="283"/>
              <w:ind w:left="0" w:right="0" w:hanging="0"/>
              <w:jc w:val="left"/>
              <w:rPr>
                <w:sz w:val="4"/>
                <w:szCs w:val="4"/>
              </w:rPr>
            </w:pPr>
            <w:r>
              <w:rPr>
                <w:sz w:val="4"/>
                <w:szCs w:val="4"/>
              </w:rPr>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Compensation Committee”</w:t>
            </w:r>
          </w:p>
        </w:tc>
        <w:tc>
          <w:tcPr>
            <w:tcW w:w="346" w:type="dxa"/>
            <w:tcBorders/>
            <w:vAlign w:val="center"/>
          </w:tcPr>
          <w:p>
            <w:pPr>
              <w:pStyle w:val="TableContents"/>
              <w:bidi w:val="0"/>
              <w:spacing w:before="0" w:after="0"/>
              <w:ind w:left="0" w:right="0" w:hanging="0"/>
              <w:jc w:val="left"/>
              <w:rPr/>
            </w:pPr>
            <w:r>
              <w:rPr/>
              <w:t>  ​ ​ ​</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compensation committee of the Board</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Corporate Governance Code”</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Corporate Governance Code set out in Appendix C1 to the Listing Rules</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Corporate Governance Committee”</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corporate governance committee of the Board</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CTO”</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chief technology officer of the Group</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Custodian”</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AG, Hong Kong Branch, which is appointed by the Depositary to hold our Class A Ordinary Shares deposited under the deposit agreement</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Depositary”</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Deutsche Bank Trust Company Americas</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Director(s)”</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director(s) of the Company</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Dr. Han”</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rFonts w:ascii="Times New Roman;Times;serif" w:hAnsi="Times New Roman;Times;serif"/>
                <w:sz w:val="20"/>
              </w:rPr>
              <w:t>Dr. Tony Xu Han (</w:t>
            </w:r>
            <w:r>
              <w:rPr>
                <w:rFonts w:eastAsia="MHeiHK-Light"/>
                <w:sz w:val="20"/>
              </w:rPr>
              <w:t>韓旭</w:t>
            </w:r>
            <w:r>
              <w:rPr>
                <w:rFonts w:ascii="Times New Roman;Times;serif" w:hAnsi="Times New Roman;Times;serif"/>
                <w:sz w:val="20"/>
              </w:rPr>
              <w:t>), our founder, chairman of our Board, executive Director, and CEO</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Dr. Li”</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rFonts w:ascii="Times New Roman;Times;serif" w:hAnsi="Times New Roman;Times;serif"/>
                <w:sz w:val="20"/>
              </w:rPr>
              <w:t>Dr. Yan Li (</w:t>
            </w:r>
            <w:r>
              <w:rPr>
                <w:rFonts w:eastAsia="MHeiHK-Light"/>
                <w:sz w:val="20"/>
              </w:rPr>
              <w:t>李岩</w:t>
            </w:r>
            <w:r>
              <w:rPr>
                <w:rFonts w:ascii="Times New Roman;Times;serif" w:hAnsi="Times New Roman;Times;serif"/>
                <w:sz w:val="20"/>
              </w:rPr>
              <w:t>), our co-founder, executive Director, and CTO</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Global Offering”</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Hong Kong Public Offering and the International Offering as defined in the Prospectus</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Group,” “we,” “us” or “WeRide”</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Company and its subsidiaries from time to time</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HK$”</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 dollars, the lawful currency of Hong Kong</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Hong Kong Special Administrative Region of the People’s Republic of China</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Humber Partners”</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Humber Partners Limited, a company incorporated in the BVI with limited liability on June 22, 2022 and wholly owned by Dr. Li</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IFRS” or “IFRS Accounting Standards”</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Accounting Standards issued by the International Accounting Standards Board from time to time</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Latest Practicable Date”</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2026, being the latest practicable date prior to the publication of this interim report</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Listing”</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listing of the Class A Ordinary Shares on the Main Board of the Hong Kong Stock Exchange</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Listing Date”</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6, 2025, the date on which the Class A Ordinary Shares were listed and from which dealings therein were permitted to commence on the Hong Kong Stock Exchange</w:t>
            </w:r>
          </w:p>
        </w:tc>
      </w:tr>
      <w:tr>
        <w:trPr/>
        <w:tc>
          <w:tcPr>
            <w:tcW w:w="2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pPr>
            <w:r>
              <w:rPr/>
              <w:t>​</w:t>
            </w:r>
          </w:p>
        </w:tc>
      </w:tr>
      <w:tr>
        <w:trPr/>
        <w:tc>
          <w:tcPr>
            <w:tcW w:w="2308"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Listing Rules”</w:t>
            </w:r>
          </w:p>
        </w:tc>
        <w:tc>
          <w:tcPr>
            <w:tcW w:w="346" w:type="dxa"/>
            <w:tcBorders/>
            <w:vAlign w:val="center"/>
          </w:tcPr>
          <w:p>
            <w:pPr>
              <w:pStyle w:val="TableContents"/>
              <w:bidi w:val="0"/>
              <w:spacing w:before="0" w:after="0"/>
              <w:ind w:left="0" w:right="0" w:hanging="0"/>
              <w:jc w:val="left"/>
              <w:rPr/>
            </w:pPr>
            <w:r>
              <w:rPr/>
              <w:t>​</w:t>
            </w:r>
          </w:p>
        </w:tc>
        <w:tc>
          <w:tcPr>
            <w:tcW w:w="7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Rules Governing the Listing of Securities on The Stock Exchange of Hong Kong Limited, as amended, supplemented or otherwise modified from time to time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827"/>
        <w:gridCol w:w="346"/>
        <w:gridCol w:w="8032"/>
      </w:tblGrid>
      <w:tr>
        <w:trPr/>
        <w:tc>
          <w:tcPr>
            <w:tcW w:w="182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032" w:type="dxa"/>
            <w:tcBorders/>
            <w:vAlign w:val="center"/>
          </w:tcPr>
          <w:p>
            <w:pPr>
              <w:pStyle w:val="TableContents"/>
              <w:bidi w:val="0"/>
              <w:spacing w:before="0" w:after="283"/>
              <w:ind w:left="0" w:right="0" w:hanging="0"/>
              <w:jc w:val="left"/>
              <w:rPr>
                <w:sz w:val="4"/>
                <w:szCs w:val="4"/>
              </w:rPr>
            </w:pPr>
            <w:r>
              <w:rPr>
                <w:sz w:val="4"/>
                <w:szCs w:val="4"/>
              </w:rPr>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Model Code”</w:t>
            </w:r>
          </w:p>
        </w:tc>
        <w:tc>
          <w:tcPr>
            <w:tcW w:w="346" w:type="dxa"/>
            <w:tcBorders/>
            <w:vAlign w:val="center"/>
          </w:tcPr>
          <w:p>
            <w:pPr>
              <w:pStyle w:val="TableContents"/>
              <w:bidi w:val="0"/>
              <w:spacing w:before="0" w:after="0"/>
              <w:ind w:left="0" w:right="0" w:hanging="0"/>
              <w:jc w:val="left"/>
              <w:rPr/>
            </w:pPr>
            <w:r>
              <w:rPr/>
              <w:t>  ​ ​ ​</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Model Code for Securities Transactions by Directors of Listed Issuers set out in Appendix C3 to the Listing Rules</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Nasdaq”</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Nasdaq Stock Market</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Nasdaq Listing Rules”</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Nasdaq Stock Market LLC Rules</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Nomination Committee”</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nomination committee of the Board</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Prospectus”</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prospectus of the Company dated October 28, 2025 in connection with the Global Offering</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R&amp;D”</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Reporting Period”</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six months ended June 30, 2026</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Reserved Matters”</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matters the resolutions with respect to which each Share is entitled to one vote at general meetings of our Company, being: (i) changes to the Memorandum or Articles, (ii) variation of rights attached to any class of shares, (iii) the appointment or removal of any independent non-executive Director, (iv) the appointment or removal of auditors of our Company, and (v) the voluntary winding-up of our Company</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RMB”</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Renminbi, the lawful currency of China</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SEC”</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Securities and Exchange Commission</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SFO”</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Securities and Futures Ordinance (Chapter 571 of the Laws of Hong Kong), as amended, supplemented or otherwise modified from time to time</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Shareholder(s)”</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holder(s) of the Share(s)</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Shares”</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Class A Ordinary Shares and Class B Ordinary Shares in the share capital of the Company, as the context so requires</w:t>
            </w:r>
          </w:p>
        </w:tc>
      </w:tr>
      <w:tr>
        <w:trPr/>
        <w:tc>
          <w:tcPr>
            <w:tcW w:w="18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pPr>
            <w:r>
              <w:rPr/>
              <w:t>​</w:t>
            </w:r>
          </w:p>
        </w:tc>
      </w:tr>
      <w:tr>
        <w:trPr/>
        <w:tc>
          <w:tcPr>
            <w:tcW w:w="1827"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Stock Exchange” or “Hong Kong Stock Exchange”</w:t>
            </w:r>
          </w:p>
        </w:tc>
        <w:tc>
          <w:tcPr>
            <w:tcW w:w="346" w:type="dxa"/>
            <w:tcBorders/>
            <w:vAlign w:val="center"/>
          </w:tcPr>
          <w:p>
            <w:pPr>
              <w:pStyle w:val="TableContents"/>
              <w:bidi w:val="0"/>
              <w:spacing w:before="0" w:after="0"/>
              <w:ind w:left="0" w:right="0" w:hanging="0"/>
              <w:jc w:val="left"/>
              <w:rPr/>
            </w:pPr>
            <w:r>
              <w:rPr/>
              <w:t>​</w:t>
            </w:r>
          </w:p>
        </w:tc>
        <w:tc>
          <w:tcPr>
            <w:tcW w:w="8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Stock Exchange of Hong Kong Limited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32"/>
        <w:gridCol w:w="346"/>
        <w:gridCol w:w="7427"/>
      </w:tblGrid>
      <w:tr>
        <w:trPr/>
        <w:tc>
          <w:tcPr>
            <w:tcW w:w="243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427" w:type="dxa"/>
            <w:tcBorders/>
            <w:vAlign w:val="center"/>
          </w:tcPr>
          <w:p>
            <w:pPr>
              <w:pStyle w:val="TableContents"/>
              <w:bidi w:val="0"/>
              <w:spacing w:before="0" w:after="283"/>
              <w:ind w:left="0" w:right="0" w:hanging="0"/>
              <w:jc w:val="left"/>
              <w:rPr>
                <w:sz w:val="4"/>
                <w:szCs w:val="4"/>
              </w:rPr>
            </w:pPr>
            <w:r>
              <w:rPr>
                <w:sz w:val="4"/>
                <w:szCs w:val="4"/>
              </w:rPr>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subsidiary(ies)”</w:t>
            </w:r>
          </w:p>
        </w:tc>
        <w:tc>
          <w:tcPr>
            <w:tcW w:w="346" w:type="dxa"/>
            <w:tcBorders/>
            <w:vAlign w:val="center"/>
          </w:tcPr>
          <w:p>
            <w:pPr>
              <w:pStyle w:val="TableContents"/>
              <w:bidi w:val="0"/>
              <w:spacing w:before="0" w:after="0"/>
              <w:ind w:left="0" w:right="0" w:hanging="0"/>
              <w:jc w:val="left"/>
              <w:rPr/>
            </w:pPr>
            <w:r>
              <w:rPr/>
              <w:t>  ​ ​ ​</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the meaning ascribed to it in section 15 of the Companies Ordinance</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substantial Shareholder(s)”</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the meaning ascribed to it in the Listing Rules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THL”</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Tonyhan Limited, a company incorporated in the BVI with limited liability on May 10, 2017 and indirectly controlled by Dr. Han</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treasury Share(s)”</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Trident”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Trident Trust Company (South Dakota) Inc., the respective trustee of the Han Family Trust and the Li Family Trust</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UAE”</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Arab Emirates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U.S.”</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United States of America, its territories, possessions and all areas subject to its jurisdiction</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US$”</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dollar, the lawful currency of the United States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weighted voting right” or “WVR”</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WVR Beneficiaries” and each a “WVR Beneficiary”</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has the meaning ascribed to it under the Listing Rules and unless the context otherwise requires, shall include Dr. Han and Dr. Li, being the beneficial owners of the Class B Ordinary Shares which carry weighted voting rights</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XHL”</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 Han Limited, a company incorporated in the BVI with limited liability on June 22, 2022 and wholly owned by Dr. Han</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Yanli”</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Yanli Holdings Limited, a company incorporated in the BVI with limited liability on May 11, 2017 and indirectly controlled by Dr. Li</w:t>
            </w:r>
          </w:p>
        </w:tc>
      </w:tr>
      <w:tr>
        <w:trPr/>
        <w:tc>
          <w:tcPr>
            <w:tcW w:w="24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pPr>
            <w:r>
              <w:rPr/>
              <w:t>​</w:t>
            </w:r>
          </w:p>
        </w:tc>
      </w:tr>
      <w:tr>
        <w:trPr/>
        <w:tc>
          <w:tcPr>
            <w:tcW w:w="2432"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7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cent</w:t>
            </w:r>
          </w:p>
        </w:tc>
      </w:tr>
    </w:tbl>
    <w:p>
      <w:pPr>
        <w:pStyle w:val="TextBody"/>
        <w:bidi w:val="0"/>
        <w:spacing w:before="0" w:after="0"/>
        <w:ind w:left="0" w:right="0" w:hanging="0"/>
        <w:jc w:val="left"/>
        <w:rPr/>
      </w:pPr>
      <w:r>
        <w:rPr/>
        <w:t>​</w:t>
      </w:r>
    </w:p>
    <w:p>
      <w:pPr>
        <w:pStyle w:val="TextBody"/>
        <w:bidi w:val="0"/>
        <w:spacing w:before="0" w:after="0"/>
        <w:ind w:left="14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RMTPro-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27867</Words>
  <Characters>150012</Characters>
  <CharactersWithSpaces>180482</CharactersWithSpaces>
  <Paragraphs>7487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